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B334" w14:textId="77777777" w:rsidR="00480B6A" w:rsidRDefault="00570CA6">
      <w:pPr>
        <w:pStyle w:val="western"/>
        <w:spacing w:before="280" w:after="160"/>
        <w:jc w:val="center"/>
        <w:rPr>
          <w:sz w:val="32"/>
          <w:szCs w:val="32"/>
        </w:rPr>
      </w:pPr>
      <w:r>
        <w:rPr>
          <w:b/>
          <w:bCs/>
          <w:sz w:val="32"/>
          <w:szCs w:val="32"/>
        </w:rPr>
        <w:t xml:space="preserve">MINIMÁLNÍ PREVENTIVNÍ PROGRAM </w:t>
      </w:r>
    </w:p>
    <w:p w14:paraId="55EA9925" w14:textId="77777777" w:rsidR="00480B6A" w:rsidRDefault="00480B6A">
      <w:pPr>
        <w:pStyle w:val="western"/>
        <w:spacing w:before="280" w:after="160"/>
        <w:jc w:val="center"/>
        <w:rPr>
          <w:sz w:val="32"/>
          <w:szCs w:val="32"/>
        </w:rPr>
      </w:pPr>
    </w:p>
    <w:p w14:paraId="240216AE" w14:textId="77777777" w:rsidR="00480B6A" w:rsidRDefault="00480B6A">
      <w:pPr>
        <w:pStyle w:val="western"/>
        <w:spacing w:before="280" w:after="160"/>
        <w:jc w:val="center"/>
      </w:pPr>
    </w:p>
    <w:p w14:paraId="7F2CDCCF" w14:textId="6200608B" w:rsidR="00480B6A" w:rsidRDefault="00947C3B">
      <w:pPr>
        <w:pStyle w:val="western"/>
        <w:spacing w:before="280" w:after="240"/>
        <w:jc w:val="center"/>
      </w:pPr>
      <w:r>
        <w:rPr>
          <w:noProof/>
        </w:rPr>
        <w:drawing>
          <wp:inline distT="0" distB="0" distL="0" distR="0" wp14:anchorId="43848D36" wp14:editId="2BBFC107">
            <wp:extent cx="5742296" cy="33528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5">
                      <a:extLst>
                        <a:ext uri="{28A0092B-C50C-407E-A947-70E740481C1C}">
                          <a14:useLocalDpi xmlns:a14="http://schemas.microsoft.com/office/drawing/2010/main" val="0"/>
                        </a:ext>
                      </a:extLst>
                    </a:blip>
                    <a:stretch>
                      <a:fillRect/>
                    </a:stretch>
                  </pic:blipFill>
                  <pic:spPr>
                    <a:xfrm>
                      <a:off x="0" y="0"/>
                      <a:ext cx="5749048" cy="3356742"/>
                    </a:xfrm>
                    <a:prstGeom prst="rect">
                      <a:avLst/>
                    </a:prstGeom>
                  </pic:spPr>
                </pic:pic>
              </a:graphicData>
            </a:graphic>
          </wp:inline>
        </w:drawing>
      </w:r>
    </w:p>
    <w:p w14:paraId="771FFBF7" w14:textId="77777777" w:rsidR="00480B6A" w:rsidRDefault="00480B6A">
      <w:pPr>
        <w:pStyle w:val="western"/>
        <w:spacing w:before="280" w:after="240"/>
        <w:jc w:val="center"/>
      </w:pPr>
    </w:p>
    <w:p w14:paraId="21121BDB" w14:textId="77777777" w:rsidR="00AF0433" w:rsidRDefault="00570CA6">
      <w:pPr>
        <w:pStyle w:val="western"/>
        <w:jc w:val="center"/>
        <w:rPr>
          <w:b/>
          <w:bCs/>
          <w:sz w:val="28"/>
          <w:szCs w:val="28"/>
        </w:rPr>
      </w:pPr>
      <w:r>
        <w:rPr>
          <w:b/>
          <w:bCs/>
          <w:sz w:val="28"/>
          <w:szCs w:val="28"/>
        </w:rPr>
        <w:t>Dětský domov Dagmar Brno, p. o.</w:t>
      </w:r>
    </w:p>
    <w:p w14:paraId="4EC37467" w14:textId="77777777" w:rsidR="00AF0433" w:rsidRDefault="00AF0433">
      <w:pPr>
        <w:pStyle w:val="western"/>
        <w:jc w:val="center"/>
        <w:rPr>
          <w:b/>
          <w:bCs/>
          <w:sz w:val="28"/>
          <w:szCs w:val="28"/>
        </w:rPr>
      </w:pPr>
    </w:p>
    <w:p w14:paraId="3B557713" w14:textId="77777777" w:rsidR="00AF0433" w:rsidRDefault="00AF0433">
      <w:pPr>
        <w:pStyle w:val="western"/>
        <w:jc w:val="center"/>
        <w:rPr>
          <w:b/>
          <w:bCs/>
          <w:sz w:val="28"/>
          <w:szCs w:val="28"/>
        </w:rPr>
      </w:pPr>
    </w:p>
    <w:p w14:paraId="58C5DDB5" w14:textId="77777777" w:rsidR="00AF0433" w:rsidRDefault="00AF0433">
      <w:pPr>
        <w:pStyle w:val="western"/>
        <w:jc w:val="center"/>
        <w:rPr>
          <w:b/>
          <w:bCs/>
          <w:sz w:val="28"/>
          <w:szCs w:val="28"/>
        </w:rPr>
      </w:pPr>
    </w:p>
    <w:p w14:paraId="39D73F5F" w14:textId="77777777" w:rsidR="00AF0433" w:rsidRDefault="00AF0433">
      <w:pPr>
        <w:pStyle w:val="western"/>
        <w:jc w:val="center"/>
        <w:rPr>
          <w:b/>
          <w:bCs/>
          <w:sz w:val="28"/>
          <w:szCs w:val="28"/>
        </w:rPr>
      </w:pPr>
    </w:p>
    <w:p w14:paraId="11A6F874" w14:textId="77777777" w:rsidR="00AF0433" w:rsidRDefault="00AF0433">
      <w:pPr>
        <w:pStyle w:val="western"/>
        <w:jc w:val="center"/>
        <w:rPr>
          <w:b/>
          <w:bCs/>
          <w:sz w:val="28"/>
          <w:szCs w:val="28"/>
        </w:rPr>
      </w:pPr>
    </w:p>
    <w:p w14:paraId="4D9644EB" w14:textId="77777777" w:rsidR="00AF0433" w:rsidRDefault="00AF0433">
      <w:pPr>
        <w:pStyle w:val="western"/>
        <w:jc w:val="center"/>
        <w:rPr>
          <w:b/>
          <w:bCs/>
          <w:sz w:val="28"/>
          <w:szCs w:val="28"/>
        </w:rPr>
      </w:pPr>
    </w:p>
    <w:p w14:paraId="18DECFDA" w14:textId="77777777" w:rsidR="00AF0433" w:rsidRDefault="00AF0433">
      <w:pPr>
        <w:pStyle w:val="western"/>
        <w:jc w:val="center"/>
        <w:rPr>
          <w:b/>
          <w:bCs/>
          <w:sz w:val="28"/>
          <w:szCs w:val="28"/>
        </w:rPr>
      </w:pPr>
    </w:p>
    <w:p w14:paraId="36D8A7ED" w14:textId="77777777" w:rsidR="00480B6A" w:rsidRDefault="00570CA6">
      <w:pPr>
        <w:pStyle w:val="western"/>
        <w:jc w:val="center"/>
        <w:rPr>
          <w:sz w:val="28"/>
          <w:szCs w:val="28"/>
        </w:rPr>
      </w:pPr>
      <w:r>
        <w:br w:type="page"/>
      </w:r>
    </w:p>
    <w:p w14:paraId="30AEFEBF" w14:textId="77777777" w:rsidR="00480B6A" w:rsidRPr="00570CA6" w:rsidRDefault="00570CA6" w:rsidP="00570CA6">
      <w:pPr>
        <w:pStyle w:val="Nadpis1"/>
        <w:ind w:firstLine="0"/>
        <w:rPr>
          <w:rFonts w:asciiTheme="majorHAnsi" w:hAnsiTheme="majorHAnsi" w:cstheme="majorHAnsi"/>
        </w:rPr>
      </w:pPr>
      <w:bookmarkStart w:id="0" w:name="__RefHeading___Toc1529_1199080075"/>
      <w:bookmarkEnd w:id="0"/>
      <w:r w:rsidRPr="00570CA6">
        <w:rPr>
          <w:rFonts w:asciiTheme="majorHAnsi" w:hAnsiTheme="majorHAnsi" w:cstheme="majorHAnsi"/>
        </w:rPr>
        <w:t>Úvod</w:t>
      </w:r>
    </w:p>
    <w:p w14:paraId="446FC273" w14:textId="77777777" w:rsidR="00480B6A" w:rsidRPr="00570CA6" w:rsidRDefault="00570CA6" w:rsidP="00570CA6">
      <w:pPr>
        <w:ind w:firstLine="0"/>
        <w:jc w:val="both"/>
        <w:rPr>
          <w:rFonts w:asciiTheme="minorHAnsi" w:hAnsiTheme="minorHAnsi" w:cstheme="minorHAnsi"/>
        </w:rPr>
      </w:pPr>
      <w:bookmarkStart w:id="1" w:name="__RefHeading___Toc1531_1199080075"/>
      <w:bookmarkEnd w:id="1"/>
      <w:r w:rsidRPr="00570CA6">
        <w:rPr>
          <w:rFonts w:asciiTheme="minorHAnsi" w:hAnsiTheme="minorHAnsi" w:cstheme="minorHAnsi"/>
          <w:szCs w:val="24"/>
        </w:rPr>
        <w:t xml:space="preserve">Dětský domov Dagmar Brno, p. o. vznikl díky iniciativě brněnského spisovatele a básníka Rudolfa </w:t>
      </w:r>
      <w:proofErr w:type="spellStart"/>
      <w:r w:rsidRPr="00570CA6">
        <w:rPr>
          <w:rFonts w:asciiTheme="minorHAnsi" w:hAnsiTheme="minorHAnsi" w:cstheme="minorHAnsi"/>
          <w:szCs w:val="24"/>
        </w:rPr>
        <w:t>Těsnohlídka</w:t>
      </w:r>
      <w:proofErr w:type="spellEnd"/>
      <w:r w:rsidRPr="00570CA6">
        <w:rPr>
          <w:rFonts w:asciiTheme="minorHAnsi" w:hAnsiTheme="minorHAnsi" w:cstheme="minorHAnsi"/>
          <w:szCs w:val="24"/>
        </w:rPr>
        <w:t xml:space="preserve">, autora známé Lišky Bystroušky. Neméně známý je v Brně také příběh o holčičce Lidušce, kterou </w:t>
      </w:r>
      <w:proofErr w:type="spellStart"/>
      <w:r w:rsidRPr="00570CA6">
        <w:rPr>
          <w:rFonts w:asciiTheme="minorHAnsi" w:hAnsiTheme="minorHAnsi" w:cstheme="minorHAnsi"/>
          <w:szCs w:val="24"/>
        </w:rPr>
        <w:t>Těsnohlídek</w:t>
      </w:r>
      <w:proofErr w:type="spellEnd"/>
      <w:r w:rsidRPr="00570CA6">
        <w:rPr>
          <w:rFonts w:asciiTheme="minorHAnsi" w:hAnsiTheme="minorHAnsi" w:cstheme="minorHAnsi"/>
          <w:szCs w:val="24"/>
        </w:rPr>
        <w:t xml:space="preserve"> našel se svým přítelem na Štědrý den v lese, když šli pro vánoční stromek. Tento zážitek ho přivedl k přenesení tradice tzv. Vánočních stromů republiky z Dánska do ČR. Byly pořádány sbírky pro chudé a z jejich výtěžku se v prosinci 1928 začalo s výstavbou dětského domova. O rok později byl dětský domov otevřen. </w:t>
      </w:r>
    </w:p>
    <w:p w14:paraId="0E83802F" w14:textId="77777777" w:rsidR="00480B6A" w:rsidRPr="00570CA6" w:rsidRDefault="00570CA6" w:rsidP="00570CA6">
      <w:pPr>
        <w:ind w:firstLine="0"/>
        <w:jc w:val="both"/>
        <w:rPr>
          <w:rFonts w:asciiTheme="minorHAnsi" w:hAnsiTheme="minorHAnsi" w:cstheme="minorHAnsi"/>
        </w:rPr>
      </w:pPr>
      <w:bookmarkStart w:id="2" w:name="__RefHeading___Toc1533_1199080075"/>
      <w:bookmarkEnd w:id="2"/>
      <w:r w:rsidRPr="00570CA6">
        <w:rPr>
          <w:rFonts w:asciiTheme="minorHAnsi" w:hAnsiTheme="minorHAnsi" w:cstheme="minorHAnsi"/>
          <w:szCs w:val="24"/>
        </w:rPr>
        <w:t xml:space="preserve">Dětský domov Dagmar je školské zařízení zajišťující náhradní výchovnou péči nezletilým osobám ve věku 3 až 18 let, případně zletilým osobám do 19 let, na základě soudního rozhodnutí o ústavní výchově, ochranné výchově nebo na základě předběžného opatření. Děti se zde připravují na budoucí povolání, nejdéle však do věku 26 let. </w:t>
      </w:r>
    </w:p>
    <w:p w14:paraId="65D94CB6"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szCs w:val="24"/>
          <w:lang w:eastAsia="cs-CZ"/>
        </w:rPr>
        <w:t>Kapacita Dětského domova Dagmar je 25 dětí. Děti jsou rozděleny do 3 rodinek, kde mají svoje pokoje, kuchyňku a sociální zařízení. V každé rodinné skupině o děti pečují dva kmenoví vychovatelé - „tety a strejdové“. Po ukončení povinné školní docházky je snaha umožnit dětem výběr studia dle jejich zájmů a možností na odborném učilišti, střední, vyšší odborné, příp. vysoké škole. V současné době děti navštěvují mateřskou a základní školu, střední školu, odborné učiliště, vyšší odbornou a vysokou školu.</w:t>
      </w:r>
    </w:p>
    <w:p w14:paraId="5C60C073"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lang w:eastAsia="cs-CZ"/>
        </w:rPr>
        <w:t>Minimální preventivní program Dětského domova Dagmar vychází z pokynu MŠMT, č. j.: 21291/2010-28. Ten do rizikových forem chování zařazuje konzumaci drog včetně alkoholu, kouření, kriminalitu, virtuální drogy (</w:t>
      </w:r>
      <w:proofErr w:type="spellStart"/>
      <w:r w:rsidRPr="00570CA6">
        <w:rPr>
          <w:rFonts w:asciiTheme="minorHAnsi" w:hAnsiTheme="minorHAnsi" w:cstheme="minorHAnsi"/>
          <w:lang w:eastAsia="cs-CZ"/>
        </w:rPr>
        <w:t>netolismus</w:t>
      </w:r>
      <w:proofErr w:type="spellEnd"/>
      <w:r w:rsidRPr="00570CA6">
        <w:rPr>
          <w:rFonts w:asciiTheme="minorHAnsi" w:hAnsiTheme="minorHAnsi" w:cstheme="minorHAnsi"/>
          <w:lang w:eastAsia="cs-CZ"/>
        </w:rPr>
        <w:t>) a gamblerství (patologické hráčství), záškoláctví, šikanování a jiné násilí, rasismus, xenofobii, intoleranci a antisemitismus. Je doplněn o novinky z Metodického pokynu MŠMT k řešení šikanování ve školách a školských zařízeních č. j.: 22294/2013-1.</w:t>
      </w:r>
    </w:p>
    <w:p w14:paraId="06C3EFEC"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Hlavní preventivní strategií našeho domova zůstává osvojování si základních kompetencí v oblasti zdravého životního stylu, prevence a rozvoj dovedností, které vedou u dětí a mládeže k odmítání všech druhů sebepoškozujícího chování, projevů agresivity a porušování zákona.</w:t>
      </w:r>
    </w:p>
    <w:p w14:paraId="25D7D2AE"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lang w:eastAsia="cs-CZ"/>
        </w:rPr>
        <w:t>Vzhledem k tomu, že děti v dětském domově přicházejí ze sociálně-patologického prostředí, je důležitou oblastí tohoto preventivního programu posilování dětského sebevědomí, sebeúcty, vedení k vzájemné úctě, odstraňování nedůvěry, sobeckosti a vzájemné nevraživosti mezi dětmi. Neméně podstatnou oblastí je také navázání komunikace a určitého vztahu nejen s dětmi, ale i jejich rodiči. Úkolem kmenových vychovatelů je pak tento vztah nadále udržovat, prohlubovat a rozvíjet. S určitostí lze říci, že univerzální recept na tento složitý společenský problém neexistuje. Jakékoliv způsoby, které formují psychicky zdravou osobnost a vedou dítě k odmítavému postoji k těmto společenským jevům, je však třeba neustále hledat, zdokonalovat a přizpůsobovat.</w:t>
      </w:r>
    </w:p>
    <w:p w14:paraId="63BA1B8D"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br w:type="page"/>
      </w:r>
    </w:p>
    <w:p w14:paraId="75BFCEDB" w14:textId="77777777" w:rsidR="00480B6A" w:rsidRPr="00570CA6" w:rsidRDefault="00570CA6" w:rsidP="00570CA6">
      <w:pPr>
        <w:pStyle w:val="Nadpis1"/>
        <w:ind w:firstLine="0"/>
        <w:rPr>
          <w:rFonts w:asciiTheme="majorHAnsi" w:hAnsiTheme="majorHAnsi" w:cstheme="majorHAnsi"/>
        </w:rPr>
      </w:pPr>
      <w:bookmarkStart w:id="3" w:name="__RefHeading___Toc1535_1199080075"/>
      <w:bookmarkEnd w:id="3"/>
      <w:r w:rsidRPr="00570CA6">
        <w:rPr>
          <w:rFonts w:asciiTheme="majorHAnsi" w:hAnsiTheme="majorHAnsi" w:cstheme="majorHAnsi"/>
        </w:rPr>
        <w:t>Přehled vybraných platných předpisů pro oblast prevence RFCH</w:t>
      </w:r>
    </w:p>
    <w:p w14:paraId="5A6F9135"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Zákon č. 561/2004 Sb., o předškolním, základním, středním, vyšším odborném a jiném vzdělávání (školský zákon), ve znění pozdějších předpisů</w:t>
      </w:r>
    </w:p>
    <w:p w14:paraId="05227C98"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Vyhláška č. 72/2005 Sb., o poskytování poradenských služeb ve školách a školských poradenských zařízeních, ve znění vyhlášky č. 116/2011 Sb. a 103/2014 Sb.</w:t>
      </w:r>
    </w:p>
    <w:p w14:paraId="17127AA2"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Vyhláška č. 73/2005 Sb., o vzdělávání dětí, žáků a studentů se speciálními vzdělávacími potřebami, ve znění vyhlášky č. 147/2011 Sb. a 103/2014 Sb.</w:t>
      </w:r>
    </w:p>
    <w:p w14:paraId="3AF76128"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Vyhláška č. 74/2005 Sb., o zájmovém vzdělávání, ve znění vyhlášky č. 279/2012 Sb.</w:t>
      </w:r>
    </w:p>
    <w:p w14:paraId="3F57203C"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Vyhláška č. 15/2005 Sb., kterou se stanoví náležitosti dlouhodobých záměrů, výročních zpráv a vlastního hodnocení školy, ve znění vyhlášky č. 225/2009 Sb.</w:t>
      </w:r>
    </w:p>
    <w:p w14:paraId="0C7C7C6F"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Informace o novele vyhlášky č. 15/2005 Sb.:</w:t>
      </w:r>
    </w:p>
    <w:p w14:paraId="1EBE719D"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Vyhláška č. 48/2005 Sb., o základním vzdělávání a některých náležitostech plnění povinné školní docházky, ve znění vyhlášky č. 256/2012 Sb.</w:t>
      </w:r>
    </w:p>
    <w:p w14:paraId="0B194BDC"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Informace o novele vyhlášky č. 48/2005 Sb.:</w:t>
      </w:r>
    </w:p>
    <w:p w14:paraId="647FF6C2"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Vyhláška č. 263/2007 Sb., kterou se stanoví pracovní řád pro zaměstnance škol a školských zařízení zřízených Ministerstvem školství, mládeže a tělovýchovy, krajem, obcí nebo dobrovolným svazkem obcí</w:t>
      </w:r>
    </w:p>
    <w:p w14:paraId="1C2A6764"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Zákon č. 563/2004 Sb., o pedagogických pracovnících a o změně některých zákonů</w:t>
      </w:r>
    </w:p>
    <w:p w14:paraId="21CD24EC"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Vyhláška č. 317/2005 Sb., o dalším vzdělávání pedagogických pracovníků, akreditační komisi a kariérním systému pedagogických pracovníků</w:t>
      </w:r>
    </w:p>
    <w:p w14:paraId="560E310C"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Zákon č. 109/2002 Sb., o výkonu ústavní výchovy nebo ochranné výchovy ve školských zařízeních a o preventivně výchovné péči ve školských zařízeních a o změně dalších zákonů, ve znění pozdějších předpisů (</w:t>
      </w:r>
      <w:proofErr w:type="spellStart"/>
      <w:r w:rsidRPr="00570CA6">
        <w:rPr>
          <w:rFonts w:asciiTheme="minorHAnsi" w:hAnsiTheme="minorHAnsi" w:cstheme="minorHAnsi"/>
        </w:rPr>
        <w:t>z.č</w:t>
      </w:r>
      <w:proofErr w:type="spellEnd"/>
      <w:r w:rsidRPr="00570CA6">
        <w:rPr>
          <w:rFonts w:asciiTheme="minorHAnsi" w:hAnsiTheme="minorHAnsi" w:cstheme="minorHAnsi"/>
        </w:rPr>
        <w:t>. 333/2012 Sb.).</w:t>
      </w:r>
    </w:p>
    <w:p w14:paraId="797C85DA"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Vyhláška 244/2011 Sb., kterou se mění vyhláška č. 438/2006 Sb., kterou se upravují podrobnosti výkonu ústavní výchovy a ochranné výchovy ve školských zařízeních</w:t>
      </w:r>
    </w:p>
    <w:p w14:paraId="3927FCFF"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Vyhláška č. 458/2005 Sb., kterou se upravují podrobnosti o organizaci výchovně vzdělávací péče ve střediscích výchovné péče</w:t>
      </w:r>
    </w:p>
    <w:p w14:paraId="4E21A5C4"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Vnitroresortní předpisy a dokumenty</w:t>
      </w:r>
    </w:p>
    <w:p w14:paraId="7BE135F4"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lang w:eastAsia="cs-CZ"/>
        </w:rPr>
        <w:t>Metodické doporučení k primární prevenci rizikového chování u dětí, žáků a studentů ve školách a školských zařízeních č. j. 21291/2010-28</w:t>
      </w:r>
    </w:p>
    <w:p w14:paraId="09DFC51C"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lang w:eastAsia="cs-CZ"/>
        </w:rPr>
        <w:t>Metodický pokyn MŠMT k řešení šikanování na školách a školských zařízeních, č. j.: MSMT-22294/2013-1</w:t>
      </w:r>
    </w:p>
    <w:p w14:paraId="68997333"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lang w:eastAsia="cs-CZ"/>
        </w:rPr>
        <w:t xml:space="preserve">Metodický pokyn MŠMT k výchově proti projevům rasismu, xenofobie a intolerance, č. j.: 14 423/1999-22 </w:t>
      </w:r>
    </w:p>
    <w:p w14:paraId="61E555EC"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lang w:eastAsia="cs-CZ"/>
        </w:rPr>
        <w:t>Metodický pokyn k jednotnému postupu při uvolňování a omlouvání žáků z vyučování, prevenci a postihu záškoláctví č. j.: 10194/2002-14</w:t>
      </w:r>
    </w:p>
    <w:p w14:paraId="361E3C3D"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Metodické pokyny k pokusnému ověřování nové formy spolupráce s rodinou a školní péče o žáky, u kterých se projevuje rizikové chování a k zavedení individuálního výchovného plánu</w:t>
      </w:r>
    </w:p>
    <w:p w14:paraId="40F9D384"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Metodický pokyn k zajištění bezpečnosti ochrany zdraví dětí, žáků a studentů ve školách a školských zařízeních zřizovaných MŠMT, č. j. 37 014/2005-25</w:t>
      </w:r>
    </w:p>
    <w:p w14:paraId="4B34433F"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Pravidla pro rodiče a děti k bezpečnějšímu užívání internetu, č. j.: 11 691/2004-24</w:t>
      </w:r>
    </w:p>
    <w:p w14:paraId="2F04AEFD"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Metodický pokyn k upřesňující podmínky činnosti středisek výchovné péče</w:t>
      </w:r>
    </w:p>
    <w:p w14:paraId="61B9F75A"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Národní strategie primární prevence rizikového chování u dětí a mládeže v působnosti ministerstva školství, mládeže a tělovýchovy na období 2013 -2018</w:t>
      </w:r>
    </w:p>
    <w:p w14:paraId="36531090"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Strategie prevence rizikového chování u dětí a mládeže v Moravskoslezském kraji na období 2013-2018</w:t>
      </w:r>
    </w:p>
    <w:p w14:paraId="2BAF2820"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Národní strategie protidrogové politiky na období 2010-2018</w:t>
      </w:r>
    </w:p>
    <w:p w14:paraId="79A315DC" w14:textId="77777777" w:rsidR="00480B6A" w:rsidRDefault="00570CA6" w:rsidP="00570CA6">
      <w:pPr>
        <w:ind w:firstLine="0"/>
        <w:jc w:val="both"/>
        <w:rPr>
          <w:rFonts w:asciiTheme="minorHAnsi" w:hAnsiTheme="minorHAnsi" w:cstheme="minorHAnsi"/>
        </w:rPr>
      </w:pPr>
      <w:r w:rsidRPr="00570CA6">
        <w:rPr>
          <w:rFonts w:asciiTheme="minorHAnsi" w:hAnsiTheme="minorHAnsi" w:cstheme="minorHAnsi"/>
        </w:rPr>
        <w:t>Národní strategie prevence násilí na dětech v České republice na období 2008 – 2018</w:t>
      </w:r>
    </w:p>
    <w:p w14:paraId="008A88A5" w14:textId="77777777" w:rsidR="00352C57" w:rsidRDefault="00352C57" w:rsidP="00570CA6">
      <w:pPr>
        <w:ind w:firstLine="0"/>
        <w:jc w:val="both"/>
        <w:rPr>
          <w:rFonts w:asciiTheme="minorHAnsi" w:hAnsiTheme="minorHAnsi" w:cstheme="minorHAnsi"/>
        </w:rPr>
      </w:pPr>
      <w:r>
        <w:rPr>
          <w:rFonts w:asciiTheme="minorHAnsi" w:hAnsiTheme="minorHAnsi" w:cstheme="minorHAnsi"/>
        </w:rPr>
        <w:t>Akční plán realizace Národní strategie prevence a snižování škod spojených se závislostním 2019 – 2021</w:t>
      </w:r>
    </w:p>
    <w:p w14:paraId="5DA8CED2" w14:textId="77777777" w:rsidR="00480B6A" w:rsidRPr="00B526D2" w:rsidRDefault="00352C57" w:rsidP="00B526D2">
      <w:pPr>
        <w:ind w:firstLine="0"/>
        <w:jc w:val="both"/>
        <w:rPr>
          <w:rFonts w:asciiTheme="minorHAnsi" w:hAnsiTheme="minorHAnsi" w:cstheme="minorHAnsi"/>
        </w:rPr>
      </w:pPr>
      <w:r>
        <w:rPr>
          <w:rFonts w:asciiTheme="minorHAnsi" w:hAnsiTheme="minorHAnsi" w:cstheme="minorHAnsi"/>
        </w:rPr>
        <w:t>Národní strategie prevence a snižování škod spojených se závislostním chováním 2019 - 2027</w:t>
      </w:r>
    </w:p>
    <w:p w14:paraId="301346ED" w14:textId="77777777" w:rsidR="00480B6A" w:rsidRPr="00570CA6" w:rsidRDefault="00570CA6" w:rsidP="00570CA6">
      <w:pPr>
        <w:pStyle w:val="Nadpis1"/>
        <w:ind w:firstLine="0"/>
        <w:rPr>
          <w:rFonts w:asciiTheme="majorHAnsi" w:hAnsiTheme="majorHAnsi" w:cstheme="majorHAnsi"/>
        </w:rPr>
      </w:pPr>
      <w:bookmarkStart w:id="4" w:name="__RefHeading___Toc1537_1199080075"/>
      <w:bookmarkEnd w:id="4"/>
      <w:r w:rsidRPr="00570CA6">
        <w:rPr>
          <w:rFonts w:asciiTheme="majorHAnsi" w:hAnsiTheme="majorHAnsi" w:cstheme="majorHAnsi"/>
        </w:rPr>
        <w:t>Cílová skupina</w:t>
      </w:r>
    </w:p>
    <w:p w14:paraId="6E94C1F8"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lang w:eastAsia="cs-CZ"/>
        </w:rPr>
        <w:t xml:space="preserve">Tento preventivní program je primárně určen pro děti do 18 let s naříznou ústavní výchovou. Nejvíce dětí navštěvuje základní školu, ostatní se připravují na budoucí povolání na odborném učilišti či střední škole; nejmladší děti docházejí do mateřské školy. </w:t>
      </w:r>
    </w:p>
    <w:p w14:paraId="5BE2390F"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 xml:space="preserve">Věkové složení dětí v DD Dagmar je velmi různorodé, proto je potřeba při preventivní činnosti klást důraz na specifické potřeby jednotlivých věkových skupin. </w:t>
      </w:r>
    </w:p>
    <w:p w14:paraId="10B3D8EE"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 děti v předškolním věku,</w:t>
      </w:r>
    </w:p>
    <w:p w14:paraId="5E95EC30"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 děti docházející na ZŠ do 15 let,</w:t>
      </w:r>
    </w:p>
    <w:p w14:paraId="3892E373"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 děti</w:t>
      </w:r>
      <w:r w:rsidR="0006363C">
        <w:rPr>
          <w:rFonts w:asciiTheme="minorHAnsi" w:hAnsiTheme="minorHAnsi" w:cstheme="minorHAnsi"/>
        </w:rPr>
        <w:t xml:space="preserve"> starší 15 let a mladí dospělí</w:t>
      </w:r>
      <w:r w:rsidRPr="00570CA6">
        <w:rPr>
          <w:rFonts w:asciiTheme="minorHAnsi" w:hAnsiTheme="minorHAnsi" w:cstheme="minorHAnsi"/>
        </w:rPr>
        <w:t>.</w:t>
      </w:r>
    </w:p>
    <w:p w14:paraId="762C8FD6"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 xml:space="preserve">Cílovou skupinu tohoto minimálního preventivního programu lze popsat pomocí </w:t>
      </w:r>
      <w:r w:rsidRPr="00570CA6">
        <w:rPr>
          <w:rFonts w:asciiTheme="minorHAnsi" w:hAnsiTheme="minorHAnsi" w:cstheme="minorHAnsi"/>
          <w:b/>
          <w:bCs/>
        </w:rPr>
        <w:t xml:space="preserve">konceptu At Risk </w:t>
      </w:r>
      <w:proofErr w:type="spellStart"/>
      <w:r w:rsidRPr="00570CA6">
        <w:rPr>
          <w:rFonts w:asciiTheme="minorHAnsi" w:hAnsiTheme="minorHAnsi" w:cstheme="minorHAnsi"/>
          <w:b/>
          <w:bCs/>
        </w:rPr>
        <w:t>Youth</w:t>
      </w:r>
      <w:proofErr w:type="spellEnd"/>
      <w:r w:rsidRPr="00570CA6">
        <w:rPr>
          <w:rFonts w:asciiTheme="minorHAnsi" w:hAnsiTheme="minorHAnsi" w:cstheme="minorHAnsi"/>
        </w:rPr>
        <w:t xml:space="preserve">. V něm najdeme popsané čtyři oblasti rizik, se kterými se děti potýkají. Jedná se o rizika spojená s osobností dítěte, rodinou dítěte, společností a školou. </w:t>
      </w:r>
    </w:p>
    <w:p w14:paraId="2696F583" w14:textId="77777777" w:rsidR="00480B6A" w:rsidRPr="00570CA6" w:rsidRDefault="00570CA6" w:rsidP="00570CA6">
      <w:pPr>
        <w:ind w:firstLine="0"/>
        <w:jc w:val="both"/>
        <w:rPr>
          <w:rFonts w:asciiTheme="minorHAnsi" w:hAnsiTheme="minorHAnsi" w:cstheme="minorHAnsi"/>
          <w:b/>
          <w:bCs/>
        </w:rPr>
      </w:pPr>
      <w:bookmarkStart w:id="5" w:name="__RefHeading___Toc1539_1199080075"/>
      <w:bookmarkEnd w:id="5"/>
      <w:r w:rsidRPr="00570CA6">
        <w:rPr>
          <w:rFonts w:asciiTheme="minorHAnsi" w:hAnsiTheme="minorHAnsi" w:cstheme="minorHAnsi"/>
          <w:b/>
          <w:bCs/>
        </w:rPr>
        <w:t>Rizika spojená s osobností dítěte</w:t>
      </w:r>
    </w:p>
    <w:p w14:paraId="0855644E"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Do této skupiny se řadí několik druhů rizik. Jedná se o oblast nemocí či zdravotních znevýhodnění nebo postižení a úrazy (např. nízká porodní váha, nedonošenost, protrahovaný porod, chronická onemocnění). Druhou skupinu tvoří oblast intelektu a temperamentu (např. snížená inteligence, hyperaktivita, impulzivita). Dále sem mohou být zahrnuty také slabé sociální vazby, snížené sociální dovednosti, malá schopnost řešit problémy, nízká sebeúcta, nedostatek empatie, obdiv k násilí nebo absence klíčové osoby, ale také život v institucionální péči.</w:t>
      </w:r>
    </w:p>
    <w:p w14:paraId="4EF5C346" w14:textId="77777777" w:rsidR="00480B6A" w:rsidRPr="00570CA6" w:rsidRDefault="00570CA6" w:rsidP="00570CA6">
      <w:pPr>
        <w:ind w:firstLine="0"/>
        <w:jc w:val="both"/>
        <w:rPr>
          <w:rFonts w:asciiTheme="minorHAnsi" w:hAnsiTheme="minorHAnsi" w:cstheme="minorHAnsi"/>
          <w:b/>
          <w:bCs/>
        </w:rPr>
      </w:pPr>
      <w:bookmarkStart w:id="6" w:name="__RefHeading___Toc1541_1199080075"/>
      <w:bookmarkEnd w:id="6"/>
      <w:r w:rsidRPr="00570CA6">
        <w:rPr>
          <w:rFonts w:asciiTheme="minorHAnsi" w:hAnsiTheme="minorHAnsi" w:cstheme="minorHAnsi"/>
          <w:b/>
          <w:bCs/>
        </w:rPr>
        <w:t>Rizika spojená s rodinou dítěte</w:t>
      </w:r>
    </w:p>
    <w:p w14:paraId="45514473"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Do této skupiny se řadí problémy ve vztazích v rodině, narušené rodinné prostředí (např. hádky rodičů, negativní interakce rodiny s okolím, sociální izolace, psychiatrické onemocnění v rodině, domácí násilí), rodinná konstelace (např. neúplná rodina, nadpočetná rodina, dlouhodobá nezaměstnanost rodičů, nezletilí rodiče). Dále sem můžeme řadit nevhodný výchovný styl, který rodiče zvolí (např. příliš benevolentní nebo naopak příliš direktivní, proměnlivá pravidla a hranice, odmítání dítěte, nedostatek přijetí, zájmu o dítě, zanedbávání) nebo nevhodný rodičovský vzor (např. drogová závislost, trestná činnost, antisociální chování).</w:t>
      </w:r>
    </w:p>
    <w:p w14:paraId="59BBB875" w14:textId="77777777" w:rsidR="00480B6A" w:rsidRPr="00570CA6" w:rsidRDefault="00570CA6" w:rsidP="00570CA6">
      <w:pPr>
        <w:ind w:firstLine="0"/>
        <w:jc w:val="both"/>
        <w:rPr>
          <w:rFonts w:asciiTheme="minorHAnsi" w:hAnsiTheme="minorHAnsi" w:cstheme="minorHAnsi"/>
          <w:b/>
          <w:bCs/>
        </w:rPr>
      </w:pPr>
      <w:bookmarkStart w:id="7" w:name="__RefHeading___Toc1543_1199080075"/>
      <w:bookmarkEnd w:id="7"/>
      <w:r w:rsidRPr="00570CA6">
        <w:rPr>
          <w:rFonts w:asciiTheme="minorHAnsi" w:hAnsiTheme="minorHAnsi" w:cstheme="minorHAnsi"/>
          <w:b/>
          <w:bCs/>
        </w:rPr>
        <w:t>Rizika spojená se společností</w:t>
      </w:r>
    </w:p>
    <w:p w14:paraId="11A041B0"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Na dítě má neméně důležitý vliv také prostředí, ve kterém vyrůstá. Lze zde zmínit především socioekonomické znevýhodnění, násilí a kriminální činnost v okolí, kulturní normy přijímané v daném prostředí, nedostatek podpůrných služeb a sociální nebo kulturní diskriminaci.</w:t>
      </w:r>
    </w:p>
    <w:p w14:paraId="4C04C6F7" w14:textId="77777777" w:rsidR="00480B6A" w:rsidRPr="00570CA6" w:rsidRDefault="00570CA6" w:rsidP="00570CA6">
      <w:pPr>
        <w:ind w:firstLine="0"/>
        <w:jc w:val="both"/>
        <w:rPr>
          <w:rFonts w:asciiTheme="minorHAnsi" w:hAnsiTheme="minorHAnsi" w:cstheme="minorHAnsi"/>
          <w:b/>
          <w:bCs/>
        </w:rPr>
      </w:pPr>
      <w:bookmarkStart w:id="8" w:name="__RefHeading___Toc1545_1199080075"/>
      <w:bookmarkEnd w:id="8"/>
      <w:r w:rsidRPr="00570CA6">
        <w:rPr>
          <w:rFonts w:asciiTheme="minorHAnsi" w:hAnsiTheme="minorHAnsi" w:cstheme="minorHAnsi"/>
          <w:b/>
          <w:bCs/>
        </w:rPr>
        <w:t>Rizika spojená se školou</w:t>
      </w:r>
    </w:p>
    <w:p w14:paraId="6E51DD40"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Dítě ve škole tráví podstatnou část svého času, proto je potřeba zmínit také rizika týkající se školního prostředí. Mezi ně se řadí především školní neúspěch, nepřiměřené nároky nejen učitelů ale i rodičů na dítě, nedostatek příležitostí k učení, slabá vazba na školu, nevhodné prostředky, kterými se učitelé snaží zajistit kázeň, zaměření na chyby, škodlivá vrstevnická skupina, šikana, odmítání vrstevníky a sociální izolace.</w:t>
      </w:r>
    </w:p>
    <w:p w14:paraId="55A1D330"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To, že se dítě řadí do rizikové skupiny, ho automaticky k nevhodnému chování nepředurčuje. Jednotlivá rizika se často prolínají a jsou vzájemně provázána. Pro pochopení problematiky dopadu rizik ohrožujících dítě a vzniku poruchy chování se ukazuje jako vhodný bio-psycho-sociální model funkčnosti, který zohledňuje vztahy mezi zdravotním stavem, osobnostními faktory a faktory prostředí. Tento model propojuje jednotlivá rizika, která děti ohrožují. Z tohoto konceptu chceme vycházet v rámci tvorby a realizace preventivních programů v Dětském domově Dagmar.</w:t>
      </w:r>
    </w:p>
    <w:p w14:paraId="3C2FCADB"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 xml:space="preserve">I přesto, že během prázdnin neodešly ani nepřišly žádné děti, přece jenom došlo ke změnám, a to personálním. Je proto třeba pracovat na vybudování funkčních rodinných skupin, budování a udržování nových vztahů a znovunastavení pravidel v jednotlivých skupinách.  </w:t>
      </w:r>
    </w:p>
    <w:p w14:paraId="1085F50D" w14:textId="77777777" w:rsidR="00480B6A" w:rsidRDefault="00480B6A" w:rsidP="00570CA6">
      <w:pPr>
        <w:pStyle w:val="Nadpis1"/>
        <w:jc w:val="both"/>
        <w:rPr>
          <w:rFonts w:asciiTheme="minorHAnsi" w:hAnsiTheme="minorHAnsi" w:cstheme="minorHAnsi"/>
        </w:rPr>
      </w:pPr>
    </w:p>
    <w:p w14:paraId="7E169DC1" w14:textId="77777777" w:rsidR="00570CA6" w:rsidRDefault="00570CA6" w:rsidP="00570CA6">
      <w:pPr>
        <w:pStyle w:val="Nadpis1"/>
        <w:jc w:val="both"/>
        <w:rPr>
          <w:rFonts w:asciiTheme="minorHAnsi" w:hAnsiTheme="minorHAnsi" w:cstheme="minorHAnsi"/>
        </w:rPr>
      </w:pPr>
    </w:p>
    <w:p w14:paraId="44AEF17F" w14:textId="77777777" w:rsidR="0006363C" w:rsidRPr="00570CA6" w:rsidRDefault="0006363C" w:rsidP="00570CA6">
      <w:pPr>
        <w:pStyle w:val="Nadpis1"/>
        <w:jc w:val="both"/>
        <w:rPr>
          <w:rFonts w:asciiTheme="minorHAnsi" w:hAnsiTheme="minorHAnsi" w:cstheme="minorHAnsi"/>
        </w:rPr>
      </w:pPr>
    </w:p>
    <w:p w14:paraId="06735CB2" w14:textId="77777777" w:rsidR="00480B6A" w:rsidRPr="00570CA6" w:rsidRDefault="00570CA6" w:rsidP="00570CA6">
      <w:pPr>
        <w:pStyle w:val="Nadpis1"/>
        <w:ind w:firstLine="0"/>
        <w:rPr>
          <w:rFonts w:asciiTheme="majorHAnsi" w:hAnsiTheme="majorHAnsi" w:cstheme="majorHAnsi"/>
        </w:rPr>
      </w:pPr>
      <w:r w:rsidRPr="00570CA6">
        <w:rPr>
          <w:rFonts w:asciiTheme="majorHAnsi" w:hAnsiTheme="majorHAnsi" w:cstheme="majorHAnsi"/>
        </w:rPr>
        <w:t>Cíle minimálního preventivního programu</w:t>
      </w:r>
    </w:p>
    <w:p w14:paraId="12B7DE0D"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Cílem tohoto preventivního programu je výchova děti ke zdravému životnímu stylu, osvojení pozitivního sociálního chování, rozvoji osobnosti a zvýšené odolnosti vůči rizikovému chování.  Děti vedeme k zodpovědnému přístupu k životu, k navazování a prohlubování mezilidských vztahů, ke smysluplnému trávení volného času.</w:t>
      </w:r>
    </w:p>
    <w:p w14:paraId="32CE53D8"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V letošním školním roce se zaměříme nejen na zlepšování vztahů nejen mezi dětmi, ale i ve vztahu dítě-vychovatel, prevenci šikany a kyberšikany, vlivu médií, zneužívání návykových látek (kouření, alkohol, lehké drogy), rozvoj sociálních a posilování komunikačních dovedností, zvládání neúspěchu, stresu, kritiky, na schopnost řešení konfliktů. I nadále budeme u dětí podporovat aktivní a smysluplné trávení volného času.</w:t>
      </w:r>
    </w:p>
    <w:p w14:paraId="30734502" w14:textId="77777777" w:rsidR="00480B6A" w:rsidRPr="00570CA6" w:rsidRDefault="00570CA6" w:rsidP="00570CA6">
      <w:pPr>
        <w:pStyle w:val="Nadpis1"/>
        <w:ind w:firstLine="0"/>
        <w:rPr>
          <w:rFonts w:asciiTheme="majorHAnsi" w:hAnsiTheme="majorHAnsi" w:cstheme="majorHAnsi"/>
        </w:rPr>
      </w:pPr>
      <w:bookmarkStart w:id="9" w:name="__RefHeading___Toc1547_1199080075"/>
      <w:bookmarkEnd w:id="9"/>
      <w:r w:rsidRPr="00570CA6">
        <w:rPr>
          <w:rFonts w:asciiTheme="majorHAnsi" w:hAnsiTheme="majorHAnsi" w:cstheme="majorHAnsi"/>
        </w:rPr>
        <w:t>Spolupráce s rodiči, kurátory OSPOD a dalšími odborníky</w:t>
      </w:r>
    </w:p>
    <w:p w14:paraId="512B38C4"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Rodičům nebo zákonným zástupcům dětí jsou od kmenových vychovatelů nebo sociální pracovnice poměrně pravidelně podávány informace o chování a prospěchu dětí. Aktuální výskyt rizikových forem chování řeší dětský domov. O výchovných opatřeních jsou rodiče vždy informováni v písemné formě.</w:t>
      </w:r>
    </w:p>
    <w:p w14:paraId="022D8548"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 xml:space="preserve">O všech důležitých skutečnostech týkajících se dětí jsou rovněž informováni pověření pracovníci OSPOD. S kurátory dětí jsme v pravidelném a úzkém kontaktu. </w:t>
      </w:r>
      <w:r w:rsidRPr="00570CA6">
        <w:rPr>
          <w:rFonts w:asciiTheme="minorHAnsi" w:hAnsiTheme="minorHAnsi" w:cstheme="minorHAnsi"/>
        </w:rPr>
        <w:br/>
        <w:t>Výborným prvkem v komunikaci s veřejností je internet, resp. webové stránky našeho dětského domova – http://www.dddagmar.cz/. Na těchto stránkách je veřejnost informována také o aktivitách vztahujících se k prevenci rizikových jevů v chování. Existuje možnost prostřednictvím internetu, telefonu, nebo i osobně oslovit vedení zařízení, sociální pracovnici, popř. jednotlivé vychovatele. Naším cílem je tyto stránky neustále zdokonalovat.</w:t>
      </w:r>
    </w:p>
    <w:p w14:paraId="275ED8F9"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lang w:eastAsia="cs-CZ"/>
        </w:rPr>
        <w:t xml:space="preserve">Ve své práci využíváme i pomoc řady odborníků, se kterými úzce spolupracujeme již několik let. Jedná se např. o pediatra, psychologa, dětskou psychiatričku, odborného pracovníka v oblasti bezpečnosti práce a požární ochrany, Policii ČR, </w:t>
      </w:r>
      <w:r w:rsidR="005209EE">
        <w:rPr>
          <w:rFonts w:asciiTheme="minorHAnsi" w:hAnsiTheme="minorHAnsi" w:cstheme="minorHAnsi"/>
          <w:lang w:eastAsia="cs-CZ"/>
        </w:rPr>
        <w:t>P</w:t>
      </w:r>
      <w:r w:rsidRPr="00570CA6">
        <w:rPr>
          <w:rFonts w:asciiTheme="minorHAnsi" w:hAnsiTheme="minorHAnsi" w:cstheme="minorHAnsi"/>
          <w:lang w:eastAsia="cs-CZ"/>
        </w:rPr>
        <w:t>edagogicko – psychologickou por</w:t>
      </w:r>
      <w:r w:rsidR="005209EE">
        <w:rPr>
          <w:rFonts w:asciiTheme="minorHAnsi" w:hAnsiTheme="minorHAnsi" w:cstheme="minorHAnsi"/>
          <w:lang w:eastAsia="cs-CZ"/>
        </w:rPr>
        <w:t>adnu a Střediska výchovné péče</w:t>
      </w:r>
      <w:r w:rsidRPr="00570CA6">
        <w:rPr>
          <w:rFonts w:asciiTheme="minorHAnsi" w:hAnsiTheme="minorHAnsi" w:cstheme="minorHAnsi"/>
          <w:lang w:eastAsia="cs-CZ"/>
        </w:rPr>
        <w:t>.</w:t>
      </w:r>
    </w:p>
    <w:p w14:paraId="7CB69CAD" w14:textId="77777777" w:rsidR="00480B6A" w:rsidRPr="00570CA6" w:rsidRDefault="00570CA6" w:rsidP="00570CA6">
      <w:pPr>
        <w:pStyle w:val="Nadpis1"/>
        <w:ind w:firstLine="0"/>
        <w:rPr>
          <w:rFonts w:asciiTheme="majorHAnsi" w:hAnsiTheme="majorHAnsi" w:cstheme="majorHAnsi"/>
        </w:rPr>
      </w:pPr>
      <w:bookmarkStart w:id="10" w:name="__RefHeading___Toc1549_1199080075"/>
      <w:bookmarkEnd w:id="10"/>
      <w:r w:rsidRPr="00570CA6">
        <w:rPr>
          <w:rFonts w:asciiTheme="majorHAnsi" w:hAnsiTheme="majorHAnsi" w:cstheme="majorHAnsi"/>
        </w:rPr>
        <w:t>Konkrétní formy prevence v Dětském domově Dagmar</w:t>
      </w:r>
    </w:p>
    <w:p w14:paraId="04A58FFD"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b/>
          <w:bCs/>
        </w:rPr>
        <w:t>Všeobecná prevence</w:t>
      </w:r>
      <w:r w:rsidRPr="00570CA6">
        <w:rPr>
          <w:rFonts w:asciiTheme="minorHAnsi" w:hAnsiTheme="minorHAnsi" w:cstheme="minorHAnsi"/>
        </w:rPr>
        <w:t xml:space="preserve"> zahrnuje přednášky a interaktivní programy, povídání o tématech rizikového chování v rámci rodinných skupin.</w:t>
      </w:r>
    </w:p>
    <w:p w14:paraId="5E918931"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b/>
          <w:bCs/>
        </w:rPr>
        <w:t>Selektivní prevencí</w:t>
      </w:r>
      <w:r w:rsidRPr="00570CA6">
        <w:rPr>
          <w:rFonts w:asciiTheme="minorHAnsi" w:hAnsiTheme="minorHAnsi" w:cstheme="minorHAnsi"/>
        </w:rPr>
        <w:t xml:space="preserve"> se rozumí zaměření na rizikové skupiny dle věku, prostředí, ve kterém se děti pohybují, a využití různých preventivních programů zaměřených např. na mladší děti, děti navštěvující 2. stupeň ZŠ, či programy pro středoškoláky. Díky těmto programům je možno se zaměřit na konkrétní témata a rizika, se kterými se daní jednotlivci ve skupině setkávají.</w:t>
      </w:r>
    </w:p>
    <w:p w14:paraId="1049040E"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b/>
          <w:bCs/>
        </w:rPr>
        <w:t>Indikovaná prevence</w:t>
      </w:r>
      <w:r w:rsidRPr="00570CA6">
        <w:rPr>
          <w:rFonts w:asciiTheme="minorHAnsi" w:hAnsiTheme="minorHAnsi" w:cstheme="minorHAnsi"/>
        </w:rPr>
        <w:t xml:space="preserve"> je zaměřena na jedince, u kterých se předpokládá vznik rizikového chování. Zahrnuje individuální práci, vyhledání a poskytnutí odborné pomoci a návazných služeb s rizikovými klienty.</w:t>
      </w:r>
    </w:p>
    <w:p w14:paraId="5C2D4C19" w14:textId="77777777" w:rsidR="00480B6A" w:rsidRPr="00570CA6" w:rsidRDefault="00480B6A" w:rsidP="00570CA6">
      <w:pPr>
        <w:jc w:val="both"/>
        <w:rPr>
          <w:rFonts w:asciiTheme="minorHAnsi" w:hAnsiTheme="minorHAnsi" w:cstheme="minorHAnsi"/>
        </w:rPr>
      </w:pPr>
    </w:p>
    <w:p w14:paraId="50CD5211"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b/>
          <w:bCs/>
        </w:rPr>
        <w:t>Primárně preventivní programy</w:t>
      </w:r>
      <w:r w:rsidRPr="00570CA6">
        <w:rPr>
          <w:rFonts w:asciiTheme="minorHAnsi" w:hAnsiTheme="minorHAnsi" w:cstheme="minorHAnsi"/>
        </w:rPr>
        <w:t xml:space="preserve"> budou zaměřeny na specifickou a nespecifickou prevenci.</w:t>
      </w:r>
    </w:p>
    <w:p w14:paraId="6FD24119" w14:textId="77777777" w:rsidR="00480B6A" w:rsidRPr="00570CA6" w:rsidRDefault="00570CA6" w:rsidP="00570CA6">
      <w:pPr>
        <w:ind w:firstLine="0"/>
        <w:jc w:val="both"/>
        <w:rPr>
          <w:rFonts w:asciiTheme="minorHAnsi" w:hAnsiTheme="minorHAnsi" w:cstheme="minorHAnsi"/>
        </w:rPr>
      </w:pPr>
      <w:bookmarkStart w:id="11" w:name="__RefHeading___Toc1557_1199080075"/>
      <w:bookmarkEnd w:id="11"/>
      <w:r w:rsidRPr="00570CA6">
        <w:rPr>
          <w:rFonts w:asciiTheme="minorHAnsi" w:hAnsiTheme="minorHAnsi" w:cstheme="minorHAnsi"/>
          <w:b/>
          <w:bCs/>
        </w:rPr>
        <w:t>Specifickou prevencí</w:t>
      </w:r>
      <w:r w:rsidRPr="00570CA6">
        <w:rPr>
          <w:rFonts w:asciiTheme="minorHAnsi" w:hAnsiTheme="minorHAnsi" w:cstheme="minorHAnsi"/>
        </w:rPr>
        <w:t xml:space="preserve"> se rozumí specifické programy, které se zaměřují na:</w:t>
      </w:r>
    </w:p>
    <w:p w14:paraId="70183DA3" w14:textId="77777777" w:rsidR="00480B6A" w:rsidRPr="00570CA6" w:rsidRDefault="00570CA6" w:rsidP="00570CA6">
      <w:pPr>
        <w:numPr>
          <w:ilvl w:val="0"/>
          <w:numId w:val="2"/>
        </w:numPr>
        <w:jc w:val="both"/>
        <w:rPr>
          <w:rFonts w:asciiTheme="minorHAnsi" w:hAnsiTheme="minorHAnsi" w:cstheme="minorHAnsi"/>
        </w:rPr>
      </w:pPr>
      <w:bookmarkStart w:id="12" w:name="__RefHeading___Toc1559_1199080075"/>
      <w:bookmarkEnd w:id="12"/>
      <w:r w:rsidRPr="00570CA6">
        <w:rPr>
          <w:rFonts w:asciiTheme="minorHAnsi" w:hAnsiTheme="minorHAnsi" w:cstheme="minorHAnsi"/>
        </w:rPr>
        <w:t>předcházení a omezení výskytu jednotlivých forem rizikového chování,</w:t>
      </w:r>
    </w:p>
    <w:p w14:paraId="6D01833C" w14:textId="77777777" w:rsidR="00480B6A" w:rsidRPr="00570CA6" w:rsidRDefault="00570CA6" w:rsidP="00570CA6">
      <w:pPr>
        <w:numPr>
          <w:ilvl w:val="0"/>
          <w:numId w:val="2"/>
        </w:numPr>
        <w:jc w:val="both"/>
        <w:rPr>
          <w:rFonts w:asciiTheme="minorHAnsi" w:hAnsiTheme="minorHAnsi" w:cstheme="minorHAnsi"/>
        </w:rPr>
      </w:pPr>
      <w:bookmarkStart w:id="13" w:name="__RefHeading___Toc1561_1199080075"/>
      <w:bookmarkEnd w:id="13"/>
      <w:r w:rsidRPr="00570CA6">
        <w:rPr>
          <w:rFonts w:asciiTheme="minorHAnsi" w:hAnsiTheme="minorHAnsi" w:cstheme="minorHAnsi"/>
        </w:rPr>
        <w:t>návykové látky a alkohol,</w:t>
      </w:r>
    </w:p>
    <w:p w14:paraId="6E1479B9" w14:textId="77777777" w:rsidR="00480B6A" w:rsidRPr="00570CA6" w:rsidRDefault="00570CA6" w:rsidP="00570CA6">
      <w:pPr>
        <w:numPr>
          <w:ilvl w:val="0"/>
          <w:numId w:val="2"/>
        </w:numPr>
        <w:jc w:val="both"/>
        <w:rPr>
          <w:rFonts w:asciiTheme="minorHAnsi" w:hAnsiTheme="minorHAnsi" w:cstheme="minorHAnsi"/>
        </w:rPr>
      </w:pPr>
      <w:bookmarkStart w:id="14" w:name="__RefHeading___Toc1563_1199080075"/>
      <w:bookmarkEnd w:id="14"/>
      <w:r w:rsidRPr="00570CA6">
        <w:rPr>
          <w:rFonts w:asciiTheme="minorHAnsi" w:hAnsiTheme="minorHAnsi" w:cstheme="minorHAnsi"/>
        </w:rPr>
        <w:t>šikanu a kyberšikanu,</w:t>
      </w:r>
    </w:p>
    <w:p w14:paraId="228EA1D3" w14:textId="77777777" w:rsidR="00480B6A" w:rsidRPr="00570CA6" w:rsidRDefault="00570CA6" w:rsidP="00570CA6">
      <w:pPr>
        <w:numPr>
          <w:ilvl w:val="0"/>
          <w:numId w:val="2"/>
        </w:numPr>
        <w:jc w:val="both"/>
        <w:rPr>
          <w:rFonts w:asciiTheme="minorHAnsi" w:hAnsiTheme="minorHAnsi" w:cstheme="minorHAnsi"/>
        </w:rPr>
      </w:pPr>
      <w:bookmarkStart w:id="15" w:name="__RefHeading___Toc1565_1199080075"/>
      <w:bookmarkEnd w:id="15"/>
      <w:r w:rsidRPr="00570CA6">
        <w:rPr>
          <w:rFonts w:asciiTheme="minorHAnsi" w:hAnsiTheme="minorHAnsi" w:cstheme="minorHAnsi"/>
        </w:rPr>
        <w:t>extremismus, rasismus a xenofobii,</w:t>
      </w:r>
    </w:p>
    <w:p w14:paraId="54E2D99E" w14:textId="77777777" w:rsidR="00480B6A" w:rsidRPr="00570CA6" w:rsidRDefault="00570CA6" w:rsidP="00570CA6">
      <w:pPr>
        <w:numPr>
          <w:ilvl w:val="0"/>
          <w:numId w:val="2"/>
        </w:numPr>
        <w:jc w:val="both"/>
        <w:rPr>
          <w:rFonts w:asciiTheme="minorHAnsi" w:hAnsiTheme="minorHAnsi" w:cstheme="minorHAnsi"/>
        </w:rPr>
      </w:pPr>
      <w:bookmarkStart w:id="16" w:name="__RefHeading___Toc1567_1199080075"/>
      <w:bookmarkEnd w:id="16"/>
      <w:r w:rsidRPr="00570CA6">
        <w:rPr>
          <w:rFonts w:asciiTheme="minorHAnsi" w:hAnsiTheme="minorHAnsi" w:cstheme="minorHAnsi"/>
        </w:rPr>
        <w:t>rizikové sexuální chování,</w:t>
      </w:r>
    </w:p>
    <w:p w14:paraId="1DC3648F" w14:textId="77777777" w:rsidR="00480B6A" w:rsidRPr="00570CA6" w:rsidRDefault="00570CA6" w:rsidP="00570CA6">
      <w:pPr>
        <w:numPr>
          <w:ilvl w:val="0"/>
          <w:numId w:val="2"/>
        </w:numPr>
        <w:jc w:val="both"/>
        <w:rPr>
          <w:rFonts w:asciiTheme="minorHAnsi" w:hAnsiTheme="minorHAnsi" w:cstheme="minorHAnsi"/>
        </w:rPr>
      </w:pPr>
      <w:bookmarkStart w:id="17" w:name="__RefHeading___Toc1569_1199080075"/>
      <w:bookmarkEnd w:id="17"/>
      <w:r w:rsidRPr="00570CA6">
        <w:rPr>
          <w:rFonts w:asciiTheme="minorHAnsi" w:hAnsiTheme="minorHAnsi" w:cstheme="minorHAnsi"/>
        </w:rPr>
        <w:t>záškoláctví,</w:t>
      </w:r>
    </w:p>
    <w:p w14:paraId="6BF57379" w14:textId="77777777" w:rsidR="00480B6A" w:rsidRPr="00570CA6" w:rsidRDefault="00570CA6" w:rsidP="00570CA6">
      <w:pPr>
        <w:numPr>
          <w:ilvl w:val="0"/>
          <w:numId w:val="2"/>
        </w:numPr>
        <w:jc w:val="both"/>
        <w:rPr>
          <w:rFonts w:asciiTheme="minorHAnsi" w:hAnsiTheme="minorHAnsi" w:cstheme="minorHAnsi"/>
        </w:rPr>
      </w:pPr>
      <w:bookmarkStart w:id="18" w:name="__RefHeading___Toc1571_1199080075"/>
      <w:bookmarkEnd w:id="18"/>
      <w:r w:rsidRPr="00570CA6">
        <w:rPr>
          <w:rFonts w:asciiTheme="minorHAnsi" w:hAnsiTheme="minorHAnsi" w:cstheme="minorHAnsi"/>
        </w:rPr>
        <w:t>bezpečnost silničního provozu,</w:t>
      </w:r>
    </w:p>
    <w:p w14:paraId="425BEBA2" w14:textId="77777777" w:rsidR="00480B6A" w:rsidRPr="00570CA6" w:rsidRDefault="00570CA6" w:rsidP="00570CA6">
      <w:pPr>
        <w:numPr>
          <w:ilvl w:val="0"/>
          <w:numId w:val="2"/>
        </w:numPr>
        <w:jc w:val="both"/>
        <w:rPr>
          <w:rFonts w:asciiTheme="minorHAnsi" w:hAnsiTheme="minorHAnsi" w:cstheme="minorHAnsi"/>
        </w:rPr>
      </w:pPr>
      <w:bookmarkStart w:id="19" w:name="__RefHeading___Toc1573_1199080075"/>
      <w:bookmarkEnd w:id="19"/>
      <w:r w:rsidRPr="00570CA6">
        <w:rPr>
          <w:rFonts w:asciiTheme="minorHAnsi" w:hAnsiTheme="minorHAnsi" w:cstheme="minorHAnsi"/>
        </w:rPr>
        <w:t xml:space="preserve">jak se bránit – domácí násilí, obtěžování, ohrožení nebezpečnými názorovými proudy, vědomí vlastní hodnoty.   </w:t>
      </w:r>
    </w:p>
    <w:p w14:paraId="5B6B774C" w14:textId="77777777" w:rsidR="00480B6A" w:rsidRPr="00570CA6" w:rsidRDefault="00480B6A" w:rsidP="00570CA6">
      <w:pPr>
        <w:jc w:val="both"/>
        <w:rPr>
          <w:rFonts w:asciiTheme="minorHAnsi" w:hAnsiTheme="minorHAnsi" w:cstheme="minorHAnsi"/>
        </w:rPr>
      </w:pPr>
    </w:p>
    <w:p w14:paraId="44CC8975" w14:textId="77777777" w:rsidR="00480B6A" w:rsidRPr="00570CA6" w:rsidRDefault="00570CA6" w:rsidP="00570CA6">
      <w:pPr>
        <w:ind w:firstLine="0"/>
        <w:jc w:val="both"/>
        <w:rPr>
          <w:rFonts w:asciiTheme="minorHAnsi" w:hAnsiTheme="minorHAnsi" w:cstheme="minorHAnsi"/>
        </w:rPr>
      </w:pPr>
      <w:bookmarkStart w:id="20" w:name="__RefHeading___Toc1575_1199080075"/>
      <w:bookmarkEnd w:id="20"/>
      <w:r w:rsidRPr="00570CA6">
        <w:rPr>
          <w:rFonts w:asciiTheme="minorHAnsi" w:hAnsiTheme="minorHAnsi" w:cstheme="minorHAnsi"/>
          <w:b/>
          <w:bCs/>
        </w:rPr>
        <w:t>Nespecifickou prevencí</w:t>
      </w:r>
      <w:r w:rsidRPr="00570CA6">
        <w:rPr>
          <w:rFonts w:asciiTheme="minorHAnsi" w:hAnsiTheme="minorHAnsi" w:cstheme="minorHAnsi"/>
        </w:rPr>
        <w:t xml:space="preserve"> je podpora zdravého životního stylu, osvojování pozitivních vzorců chování, návštěva kroužků, volnočasové aktivity a bohatý program zaměřený na různé oblasti vzdělávání a zábavy v rámci rodinných skupin i celého dětského domova.</w:t>
      </w:r>
    </w:p>
    <w:p w14:paraId="75C22817"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b/>
          <w:bCs/>
        </w:rPr>
        <w:t>Primární prevence</w:t>
      </w:r>
      <w:r w:rsidRPr="00570CA6">
        <w:rPr>
          <w:rFonts w:asciiTheme="minorHAnsi" w:hAnsiTheme="minorHAnsi" w:cstheme="minorHAnsi"/>
        </w:rPr>
        <w:t xml:space="preserve"> v Dětském domově Dagmar se zaměřuje zejména na využití a smysluplné trávení volného času nejen formou řízených aktivit a konkrétní nabídky, ale také formou inspirace a vedení k samostatnému vytváření aktivit ve volném čase.</w:t>
      </w:r>
    </w:p>
    <w:p w14:paraId="3488EB59" w14:textId="77777777" w:rsidR="00480B6A" w:rsidRPr="00570CA6" w:rsidRDefault="00570CA6" w:rsidP="00570CA6">
      <w:pPr>
        <w:jc w:val="both"/>
        <w:rPr>
          <w:rFonts w:asciiTheme="minorHAnsi" w:hAnsiTheme="minorHAnsi" w:cstheme="minorHAnsi"/>
          <w:i/>
          <w:iCs/>
        </w:rPr>
      </w:pPr>
      <w:bookmarkStart w:id="21" w:name="__RefHeading___Toc1577_1199080075"/>
      <w:bookmarkEnd w:id="21"/>
      <w:r w:rsidRPr="00570CA6">
        <w:rPr>
          <w:rFonts w:asciiTheme="minorHAnsi" w:hAnsiTheme="minorHAnsi" w:cstheme="minorHAnsi"/>
          <w:i/>
          <w:iCs/>
        </w:rPr>
        <w:t>Nabídka aktivit:</w:t>
      </w:r>
    </w:p>
    <w:p w14:paraId="03B98BE1" w14:textId="77777777" w:rsidR="00480B6A" w:rsidRPr="00570CA6" w:rsidRDefault="00570CA6" w:rsidP="00570CA6">
      <w:pPr>
        <w:numPr>
          <w:ilvl w:val="0"/>
          <w:numId w:val="1"/>
        </w:numPr>
        <w:jc w:val="both"/>
        <w:rPr>
          <w:rFonts w:asciiTheme="minorHAnsi" w:hAnsiTheme="minorHAnsi" w:cstheme="minorHAnsi"/>
        </w:rPr>
      </w:pPr>
      <w:r w:rsidRPr="00570CA6">
        <w:rPr>
          <w:rFonts w:asciiTheme="minorHAnsi" w:hAnsiTheme="minorHAnsi" w:cstheme="minorHAnsi"/>
        </w:rPr>
        <w:t>Sportovní aktivity podle konkrétního ročního období – plavání, turistika, cyklistika, bruslení, sáňkování, hry,</w:t>
      </w:r>
    </w:p>
    <w:p w14:paraId="0037E25A" w14:textId="77777777" w:rsidR="00480B6A" w:rsidRPr="00570CA6" w:rsidRDefault="00570CA6" w:rsidP="00570CA6">
      <w:pPr>
        <w:numPr>
          <w:ilvl w:val="0"/>
          <w:numId w:val="1"/>
        </w:numPr>
        <w:jc w:val="both"/>
        <w:rPr>
          <w:rFonts w:asciiTheme="minorHAnsi" w:hAnsiTheme="minorHAnsi" w:cstheme="minorHAnsi"/>
        </w:rPr>
      </w:pPr>
      <w:r w:rsidRPr="00570CA6">
        <w:rPr>
          <w:rFonts w:asciiTheme="minorHAnsi" w:hAnsiTheme="minorHAnsi" w:cstheme="minorHAnsi"/>
        </w:rPr>
        <w:t>dopravní výchova na dopravním hřišti,</w:t>
      </w:r>
    </w:p>
    <w:p w14:paraId="7AF33F3A" w14:textId="77777777" w:rsidR="00480B6A" w:rsidRPr="00570CA6" w:rsidRDefault="00570CA6" w:rsidP="00570CA6">
      <w:pPr>
        <w:numPr>
          <w:ilvl w:val="0"/>
          <w:numId w:val="1"/>
        </w:numPr>
        <w:jc w:val="both"/>
        <w:rPr>
          <w:rFonts w:asciiTheme="minorHAnsi" w:hAnsiTheme="minorHAnsi" w:cstheme="minorHAnsi"/>
        </w:rPr>
      </w:pPr>
      <w:r w:rsidRPr="00570CA6">
        <w:rPr>
          <w:rFonts w:asciiTheme="minorHAnsi" w:hAnsiTheme="minorHAnsi" w:cstheme="minorHAnsi"/>
        </w:rPr>
        <w:t>kulturní akce – návštěvy kin, divadel, koncertů a akcí pro děti zaměřených na určitou problematiku,</w:t>
      </w:r>
    </w:p>
    <w:p w14:paraId="60CD9E8A" w14:textId="77777777" w:rsidR="00480B6A" w:rsidRPr="00570CA6" w:rsidRDefault="00570CA6" w:rsidP="00570CA6">
      <w:pPr>
        <w:numPr>
          <w:ilvl w:val="0"/>
          <w:numId w:val="1"/>
        </w:numPr>
        <w:jc w:val="both"/>
        <w:rPr>
          <w:rFonts w:asciiTheme="minorHAnsi" w:hAnsiTheme="minorHAnsi" w:cstheme="minorHAnsi"/>
        </w:rPr>
      </w:pPr>
      <w:r w:rsidRPr="00570CA6">
        <w:rPr>
          <w:rFonts w:asciiTheme="minorHAnsi" w:hAnsiTheme="minorHAnsi" w:cstheme="minorHAnsi"/>
        </w:rPr>
        <w:t>letní dětské tábory a společné pobyty mimo areál Dětského domova,</w:t>
      </w:r>
    </w:p>
    <w:p w14:paraId="4B47EFC5" w14:textId="77777777" w:rsidR="00480B6A" w:rsidRPr="00570CA6" w:rsidRDefault="00570CA6" w:rsidP="00570CA6">
      <w:pPr>
        <w:numPr>
          <w:ilvl w:val="0"/>
          <w:numId w:val="1"/>
        </w:numPr>
        <w:jc w:val="both"/>
        <w:rPr>
          <w:rFonts w:asciiTheme="minorHAnsi" w:hAnsiTheme="minorHAnsi" w:cstheme="minorHAnsi"/>
        </w:rPr>
      </w:pPr>
      <w:r w:rsidRPr="00570CA6">
        <w:rPr>
          <w:rFonts w:asciiTheme="minorHAnsi" w:hAnsiTheme="minorHAnsi" w:cstheme="minorHAnsi"/>
        </w:rPr>
        <w:t>besedy,</w:t>
      </w:r>
    </w:p>
    <w:p w14:paraId="21C63807" w14:textId="77777777" w:rsidR="00480B6A" w:rsidRPr="00570CA6" w:rsidRDefault="00570CA6" w:rsidP="00570CA6">
      <w:pPr>
        <w:numPr>
          <w:ilvl w:val="0"/>
          <w:numId w:val="1"/>
        </w:numPr>
        <w:jc w:val="both"/>
        <w:rPr>
          <w:rFonts w:asciiTheme="minorHAnsi" w:hAnsiTheme="minorHAnsi" w:cstheme="minorHAnsi"/>
        </w:rPr>
      </w:pPr>
      <w:r w:rsidRPr="00570CA6">
        <w:rPr>
          <w:rFonts w:asciiTheme="minorHAnsi" w:hAnsiTheme="minorHAnsi" w:cstheme="minorHAnsi"/>
        </w:rPr>
        <w:t>skupino</w:t>
      </w:r>
      <w:r w:rsidR="00B526D2">
        <w:rPr>
          <w:rFonts w:asciiTheme="minorHAnsi" w:hAnsiTheme="minorHAnsi" w:cstheme="minorHAnsi"/>
        </w:rPr>
        <w:t>vá komunitní setkání každý měsíc</w:t>
      </w:r>
      <w:r w:rsidRPr="00570CA6">
        <w:rPr>
          <w:rFonts w:asciiTheme="minorHAnsi" w:hAnsiTheme="minorHAnsi" w:cstheme="minorHAnsi"/>
        </w:rPr>
        <w:t>, individuální sezení s psychologem,</w:t>
      </w:r>
    </w:p>
    <w:p w14:paraId="4C6027C1" w14:textId="77777777" w:rsidR="00480B6A" w:rsidRPr="00570CA6" w:rsidRDefault="00570CA6" w:rsidP="00570CA6">
      <w:pPr>
        <w:numPr>
          <w:ilvl w:val="0"/>
          <w:numId w:val="1"/>
        </w:numPr>
        <w:jc w:val="both"/>
        <w:rPr>
          <w:rFonts w:asciiTheme="minorHAnsi" w:hAnsiTheme="minorHAnsi" w:cstheme="minorHAnsi"/>
        </w:rPr>
      </w:pPr>
      <w:r w:rsidRPr="00570CA6">
        <w:rPr>
          <w:rFonts w:asciiTheme="minorHAnsi" w:hAnsiTheme="minorHAnsi" w:cstheme="minorHAnsi"/>
        </w:rPr>
        <w:t>průběžné vzdělávání pedagogických pracovníků, pravidelné klientské porady.</w:t>
      </w:r>
    </w:p>
    <w:p w14:paraId="1FE1EE55" w14:textId="77777777" w:rsidR="00480B6A" w:rsidRDefault="00480B6A">
      <w:pPr>
        <w:pStyle w:val="Nadpis1"/>
      </w:pPr>
    </w:p>
    <w:p w14:paraId="3980F6D7" w14:textId="77777777" w:rsidR="00480B6A" w:rsidRDefault="00480B6A">
      <w:pPr>
        <w:pStyle w:val="Nadpis1"/>
      </w:pPr>
    </w:p>
    <w:p w14:paraId="238A6648" w14:textId="77777777" w:rsidR="00480B6A" w:rsidRDefault="00480B6A">
      <w:pPr>
        <w:pStyle w:val="Nadpis1"/>
      </w:pPr>
    </w:p>
    <w:p w14:paraId="0F829946" w14:textId="77777777" w:rsidR="00480B6A" w:rsidRDefault="00480B6A">
      <w:pPr>
        <w:pStyle w:val="Nadpis1"/>
      </w:pPr>
    </w:p>
    <w:p w14:paraId="203EBFFD" w14:textId="77777777" w:rsidR="00480B6A" w:rsidRDefault="00480B6A">
      <w:pPr>
        <w:pStyle w:val="Nadpis1"/>
      </w:pPr>
    </w:p>
    <w:p w14:paraId="2258112C" w14:textId="77777777" w:rsidR="00480B6A" w:rsidRPr="00570CA6" w:rsidRDefault="00570CA6" w:rsidP="00570CA6">
      <w:pPr>
        <w:pStyle w:val="Nadpis1"/>
        <w:ind w:firstLine="0"/>
        <w:rPr>
          <w:rFonts w:asciiTheme="majorHAnsi" w:hAnsiTheme="majorHAnsi" w:cstheme="majorHAnsi"/>
        </w:rPr>
      </w:pPr>
      <w:bookmarkStart w:id="22" w:name="__RefHeading___Toc1579_1199080075"/>
      <w:bookmarkEnd w:id="22"/>
      <w:r w:rsidRPr="00570CA6">
        <w:rPr>
          <w:rFonts w:asciiTheme="majorHAnsi" w:hAnsiTheme="majorHAnsi" w:cstheme="majorHAnsi"/>
        </w:rPr>
        <w:t>Závěr</w:t>
      </w:r>
    </w:p>
    <w:p w14:paraId="27978AAB"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Aby mohlo dojít k realizaci a naplnění představ Minimálního preventivního programu pro Dětský domov Dagmar, je zapotřebí velmi úzké spolupráce především vychovatelů, které je třeba motivovat i tím směrem, že jednotlivé rodinky nejsou uzavřené a izolované skupiny, naopak děti by se měly učit žít v jednom velkém kolektivu, vzájemně spolupracovat a ve své rodince hledat jakousi formu rodinného zázemí, i když vlastní plnohodnotnou a funkční rodinu nikdy nelze plně nahradit. Lze se snažit jí však co nejvíce přiblížit. Na konci školního roku proběhne vyhodnocení tohoto plánu a jeho výsledky budou zahrnuty do plánování prevence v příštím školním roce.</w:t>
      </w:r>
    </w:p>
    <w:p w14:paraId="7BAF991C" w14:textId="77777777" w:rsidR="00480B6A" w:rsidRPr="00570CA6" w:rsidRDefault="00480B6A" w:rsidP="00570CA6">
      <w:pPr>
        <w:jc w:val="both"/>
        <w:rPr>
          <w:rFonts w:asciiTheme="minorHAnsi" w:hAnsiTheme="minorHAnsi" w:cstheme="minorHAnsi"/>
        </w:rPr>
      </w:pPr>
    </w:p>
    <w:p w14:paraId="1A91C2F5" w14:textId="77777777" w:rsidR="00480B6A" w:rsidRPr="00570CA6" w:rsidRDefault="00480B6A" w:rsidP="00570CA6">
      <w:pPr>
        <w:jc w:val="both"/>
        <w:rPr>
          <w:rFonts w:asciiTheme="minorHAnsi" w:hAnsiTheme="minorHAnsi" w:cstheme="minorHAnsi"/>
        </w:rPr>
      </w:pPr>
    </w:p>
    <w:p w14:paraId="64F0E72D"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 xml:space="preserve">Za preventivní program zodpovídá: </w:t>
      </w:r>
      <w:r w:rsidR="00A750F6">
        <w:rPr>
          <w:rFonts w:asciiTheme="minorHAnsi" w:hAnsiTheme="minorHAnsi" w:cstheme="minorHAnsi"/>
        </w:rPr>
        <w:t xml:space="preserve">Mgr. Renata </w:t>
      </w:r>
      <w:r w:rsidR="00AB5A94">
        <w:rPr>
          <w:rFonts w:asciiTheme="minorHAnsi" w:hAnsiTheme="minorHAnsi" w:cstheme="minorHAnsi"/>
        </w:rPr>
        <w:t>Koukalová</w:t>
      </w:r>
      <w:r w:rsidRPr="00570CA6">
        <w:rPr>
          <w:rFonts w:asciiTheme="minorHAnsi" w:hAnsiTheme="minorHAnsi" w:cstheme="minorHAnsi"/>
        </w:rPr>
        <w:br w:type="page"/>
      </w:r>
    </w:p>
    <w:p w14:paraId="08E18FB4" w14:textId="77777777" w:rsidR="00480B6A" w:rsidRPr="00570CA6" w:rsidRDefault="00570CA6" w:rsidP="00570CA6">
      <w:pPr>
        <w:jc w:val="both"/>
        <w:rPr>
          <w:rFonts w:asciiTheme="minorHAnsi" w:hAnsiTheme="minorHAnsi" w:cstheme="minorHAnsi"/>
          <w:b/>
          <w:bCs/>
        </w:rPr>
      </w:pPr>
      <w:bookmarkStart w:id="23" w:name="__RefHeading___Toc1581_1199080075"/>
      <w:bookmarkEnd w:id="23"/>
      <w:r w:rsidRPr="00570CA6">
        <w:rPr>
          <w:rFonts w:asciiTheme="minorHAnsi" w:hAnsiTheme="minorHAnsi" w:cstheme="minorHAnsi"/>
          <w:b/>
          <w:bCs/>
        </w:rPr>
        <w:t>Přílohy</w:t>
      </w:r>
    </w:p>
    <w:p w14:paraId="5052A483" w14:textId="77777777" w:rsidR="00480B6A" w:rsidRPr="00570CA6" w:rsidRDefault="00480B6A" w:rsidP="00570CA6">
      <w:pPr>
        <w:jc w:val="both"/>
        <w:rPr>
          <w:rFonts w:asciiTheme="minorHAnsi" w:hAnsiTheme="minorHAnsi" w:cstheme="minorHAnsi"/>
        </w:rPr>
      </w:pPr>
    </w:p>
    <w:p w14:paraId="0D7E114E"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i/>
          <w:iCs/>
        </w:rPr>
        <w:t>Scénář pro obyčejnou počáteční šikanu</w:t>
      </w:r>
      <w:r w:rsidRPr="00570CA6">
        <w:rPr>
          <w:rFonts w:asciiTheme="minorHAnsi" w:hAnsiTheme="minorHAnsi" w:cstheme="minorHAnsi"/>
        </w:rPr>
        <w:t xml:space="preserve"> (Kolář, 2011)</w:t>
      </w:r>
    </w:p>
    <w:p w14:paraId="386A9D67"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1. odhad závažnosti onemocnění skupiny a stanovení formy šikany,</w:t>
      </w:r>
    </w:p>
    <w:p w14:paraId="6D253781"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2. rozhovor s informátory a oběťmi,</w:t>
      </w:r>
    </w:p>
    <w:p w14:paraId="47CF4DD1"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3. nalezení vhodných svědků,</w:t>
      </w:r>
    </w:p>
    <w:p w14:paraId="76E931CD" w14:textId="77777777" w:rsidR="00480B6A" w:rsidRPr="00570CA6" w:rsidRDefault="00570CA6" w:rsidP="00570CA6">
      <w:pPr>
        <w:tabs>
          <w:tab w:val="left" w:pos="426"/>
        </w:tabs>
        <w:ind w:left="426" w:firstLine="28"/>
        <w:jc w:val="both"/>
        <w:rPr>
          <w:rFonts w:asciiTheme="minorHAnsi" w:hAnsiTheme="minorHAnsi" w:cstheme="minorHAnsi"/>
        </w:rPr>
      </w:pPr>
      <w:r w:rsidRPr="00570CA6">
        <w:rPr>
          <w:rFonts w:asciiTheme="minorHAnsi" w:hAnsiTheme="minorHAnsi" w:cstheme="minorHAnsi"/>
        </w:rPr>
        <w:t>4. individuální rozhovory se svědky (nepřípustné je společné vyšetřování agresorů a svědků, hrubou chybou je konfrontace oběti s agresory),</w:t>
      </w:r>
    </w:p>
    <w:p w14:paraId="6B286E5F"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5. ochrana oběti,</w:t>
      </w:r>
    </w:p>
    <w:p w14:paraId="091F17BE"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6. předběžná diagnóza a volba ze dvou typů rozhovoru:</w:t>
      </w:r>
    </w:p>
    <w:p w14:paraId="08DE96CA"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            a. rozhovor s oběťmi a rozhovor s agresory (směřování k metodě usmíření),</w:t>
      </w:r>
    </w:p>
    <w:p w14:paraId="5E4B70CA"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            b. rozhovor s agresory (směřování k metodě vnějšího nátlaku),</w:t>
      </w:r>
    </w:p>
    <w:p w14:paraId="0F32D213"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7. realizace vhodné metody:</w:t>
      </w:r>
    </w:p>
    <w:p w14:paraId="2BB1CA77"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            a. metoda usmíření,</w:t>
      </w:r>
    </w:p>
    <w:p w14:paraId="5EB10D79" w14:textId="77777777" w:rsidR="00480B6A" w:rsidRPr="00570CA6" w:rsidRDefault="00570CA6" w:rsidP="00570CA6">
      <w:pPr>
        <w:tabs>
          <w:tab w:val="left" w:pos="1134"/>
        </w:tabs>
        <w:ind w:left="1134" w:hanging="680"/>
        <w:jc w:val="both"/>
        <w:rPr>
          <w:rFonts w:asciiTheme="minorHAnsi" w:hAnsiTheme="minorHAnsi" w:cstheme="minorHAnsi"/>
        </w:rPr>
      </w:pPr>
      <w:r w:rsidRPr="00570CA6">
        <w:rPr>
          <w:rFonts w:asciiTheme="minorHAnsi" w:hAnsiTheme="minorHAnsi" w:cstheme="minorHAnsi"/>
        </w:rPr>
        <w:t>            b. metoda vnějšího nátlaku (výchovný pohovor nebo výchovná komise s agresorem a jeho rodiči),</w:t>
      </w:r>
    </w:p>
    <w:p w14:paraId="495EB76B"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8. třídní hodina:</w:t>
      </w:r>
    </w:p>
    <w:p w14:paraId="51AF6341"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            a. efekt metody usmíření,</w:t>
      </w:r>
    </w:p>
    <w:p w14:paraId="507F9738"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            b. oznámení potrestání agresorů.</w:t>
      </w:r>
    </w:p>
    <w:p w14:paraId="49D91AAE"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9. rozhovor s rodiči oběti</w:t>
      </w:r>
    </w:p>
    <w:p w14:paraId="28E16F29"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10. třídní schůzka</w:t>
      </w:r>
    </w:p>
    <w:p w14:paraId="6B724B96"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11. práce s celou třídou</w:t>
      </w:r>
    </w:p>
    <w:p w14:paraId="1ACAB593" w14:textId="77777777" w:rsidR="00480B6A" w:rsidRPr="00570CA6" w:rsidRDefault="00480B6A" w:rsidP="00570CA6">
      <w:pPr>
        <w:jc w:val="both"/>
        <w:rPr>
          <w:rFonts w:asciiTheme="minorHAnsi" w:hAnsiTheme="minorHAnsi" w:cstheme="minorHAnsi"/>
        </w:rPr>
      </w:pPr>
    </w:p>
    <w:p w14:paraId="6DA49A72" w14:textId="77777777" w:rsidR="00480B6A" w:rsidRPr="00570CA6" w:rsidRDefault="00570CA6" w:rsidP="00570CA6">
      <w:pPr>
        <w:ind w:firstLine="0"/>
        <w:jc w:val="both"/>
        <w:rPr>
          <w:rFonts w:asciiTheme="minorHAnsi" w:hAnsiTheme="minorHAnsi" w:cstheme="minorHAnsi"/>
        </w:rPr>
      </w:pPr>
      <w:r w:rsidRPr="00570CA6">
        <w:rPr>
          <w:rFonts w:asciiTheme="minorHAnsi" w:hAnsiTheme="minorHAnsi" w:cstheme="minorHAnsi"/>
        </w:rPr>
        <w:t>(Komentář k jednotlivým krokům viz metodické doporučení nebo kniha Nová cesta k léčbě šikany - Kolář M. (2011). Nová cesta k léčbě šikany. Praha: Portál.)</w:t>
      </w:r>
    </w:p>
    <w:p w14:paraId="5EC603A5" w14:textId="77777777" w:rsidR="00480B6A" w:rsidRPr="00570CA6" w:rsidRDefault="00570CA6" w:rsidP="00570CA6">
      <w:pPr>
        <w:ind w:firstLine="0"/>
        <w:jc w:val="both"/>
        <w:rPr>
          <w:rFonts w:asciiTheme="minorHAnsi" w:hAnsiTheme="minorHAnsi" w:cstheme="minorHAnsi"/>
        </w:rPr>
      </w:pPr>
      <w:bookmarkStart w:id="24" w:name="__RefHeading___Toc1585_1199080075"/>
      <w:bookmarkEnd w:id="24"/>
      <w:r w:rsidRPr="00570CA6">
        <w:rPr>
          <w:rFonts w:asciiTheme="minorHAnsi" w:hAnsiTheme="minorHAnsi" w:cstheme="minorHAnsi"/>
          <w:i/>
          <w:iCs/>
        </w:rPr>
        <w:t>Základní krizový scénář pro výbuch pokročilé šikany – Poplachový plán pro tzv. školní lynčování</w:t>
      </w:r>
      <w:r w:rsidRPr="00570CA6">
        <w:rPr>
          <w:rFonts w:asciiTheme="minorHAnsi" w:hAnsiTheme="minorHAnsi" w:cstheme="minorHAnsi"/>
        </w:rPr>
        <w:t xml:space="preserve"> (Kolář, 2011)</w:t>
      </w:r>
    </w:p>
    <w:p w14:paraId="6D86B112"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A. První (alarmující) kroky pomoci</w:t>
      </w:r>
    </w:p>
    <w:p w14:paraId="63440177"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1. zvládnutí vlastního šoku – bleskový odhad závažnosti a formy šikany,</w:t>
      </w:r>
    </w:p>
    <w:p w14:paraId="42F90ADF"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2. bezprostřední záchrana oběti, zastavení skupinového násilí.</w:t>
      </w:r>
    </w:p>
    <w:p w14:paraId="6722E247" w14:textId="77777777" w:rsidR="00480B6A" w:rsidRPr="00570CA6" w:rsidRDefault="00480B6A" w:rsidP="00570CA6">
      <w:pPr>
        <w:jc w:val="both"/>
        <w:rPr>
          <w:rFonts w:asciiTheme="minorHAnsi" w:hAnsiTheme="minorHAnsi" w:cstheme="minorHAnsi"/>
        </w:rPr>
      </w:pPr>
    </w:p>
    <w:p w14:paraId="404FB2C2"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B. Příprava podmínek pro vyšetřování</w:t>
      </w:r>
    </w:p>
    <w:p w14:paraId="4C8984B5"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1. zalarmováni pedagogů na poschodí a informování vedení školy,</w:t>
      </w:r>
    </w:p>
    <w:p w14:paraId="52B4F17D"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2. zabránění domluvě na křivé skupinové výpovědi,</w:t>
      </w:r>
    </w:p>
    <w:p w14:paraId="02A12B2B"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3. pokračující pomoc oběti (přivolání lékaře),</w:t>
      </w:r>
    </w:p>
    <w:p w14:paraId="7C01D387"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4. oznámení na policii, paralelně – navázáni kontaktu se specialistou na šikanování, informace rodičům.</w:t>
      </w:r>
    </w:p>
    <w:p w14:paraId="6D1CEA1D" w14:textId="77777777" w:rsidR="00480B6A" w:rsidRPr="00570CA6" w:rsidRDefault="00480B6A" w:rsidP="00570CA6">
      <w:pPr>
        <w:jc w:val="both"/>
        <w:rPr>
          <w:rFonts w:asciiTheme="minorHAnsi" w:hAnsiTheme="minorHAnsi" w:cstheme="minorHAnsi"/>
        </w:rPr>
      </w:pPr>
    </w:p>
    <w:p w14:paraId="094E4610"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C. Vyšetřování</w:t>
      </w:r>
    </w:p>
    <w:p w14:paraId="1AE27A1A"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1. rozhovor s obětí a informátory,</w:t>
      </w:r>
    </w:p>
    <w:p w14:paraId="7D730A50"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2. nalezení nejslabších článků nespolupracujících svědků,</w:t>
      </w:r>
    </w:p>
    <w:p w14:paraId="415F9B38"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3. individuální, případně konfrontační rozhovory se svědky,</w:t>
      </w:r>
    </w:p>
    <w:p w14:paraId="0BD28C70"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4. rozhovor s agresory, případně konfrontace mezi agresory, není vhodné konfrontovat agresora (agresory) s obětí (oběťmi).</w:t>
      </w:r>
    </w:p>
    <w:p w14:paraId="2762570B" w14:textId="77777777" w:rsidR="00480B6A" w:rsidRPr="00570CA6" w:rsidRDefault="00480B6A" w:rsidP="00570CA6">
      <w:pPr>
        <w:jc w:val="both"/>
        <w:rPr>
          <w:rFonts w:asciiTheme="minorHAnsi" w:hAnsiTheme="minorHAnsi" w:cstheme="minorHAnsi"/>
        </w:rPr>
      </w:pPr>
    </w:p>
    <w:p w14:paraId="02B1F6E0"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D. Léčba</w:t>
      </w:r>
    </w:p>
    <w:p w14:paraId="0058937F" w14:textId="77777777" w:rsidR="00480B6A" w:rsidRPr="00570CA6" w:rsidRDefault="00570CA6" w:rsidP="00570CA6">
      <w:pPr>
        <w:jc w:val="both"/>
        <w:rPr>
          <w:rFonts w:asciiTheme="minorHAnsi" w:hAnsiTheme="minorHAnsi" w:cstheme="minorHAnsi"/>
        </w:rPr>
      </w:pPr>
      <w:r w:rsidRPr="00570CA6">
        <w:rPr>
          <w:rFonts w:asciiTheme="minorHAnsi" w:hAnsiTheme="minorHAnsi" w:cstheme="minorHAnsi"/>
        </w:rPr>
        <w:t>1. metoda vnějšího nátlaku a změna konstelace skupiny.</w:t>
      </w:r>
    </w:p>
    <w:sectPr w:rsidR="00480B6A" w:rsidRPr="00570CA6">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B29B0"/>
    <w:multiLevelType w:val="multilevel"/>
    <w:tmpl w:val="E542ABF8"/>
    <w:lvl w:ilvl="0">
      <w:start w:val="1"/>
      <w:numFmt w:val="bullet"/>
      <w:lvlText w:val=""/>
      <w:lvlJc w:val="left"/>
      <w:pPr>
        <w:tabs>
          <w:tab w:val="num" w:pos="1250"/>
        </w:tabs>
        <w:ind w:left="1250" w:hanging="360"/>
      </w:pPr>
      <w:rPr>
        <w:rFonts w:ascii="Symbol" w:hAnsi="Symbol" w:cs="OpenSymbol" w:hint="default"/>
      </w:rPr>
    </w:lvl>
    <w:lvl w:ilvl="1">
      <w:start w:val="1"/>
      <w:numFmt w:val="bullet"/>
      <w:lvlText w:val="◦"/>
      <w:lvlJc w:val="left"/>
      <w:pPr>
        <w:tabs>
          <w:tab w:val="num" w:pos="1610"/>
        </w:tabs>
        <w:ind w:left="1610" w:hanging="360"/>
      </w:pPr>
      <w:rPr>
        <w:rFonts w:ascii="OpenSymbol" w:hAnsi="OpenSymbol" w:cs="OpenSymbol" w:hint="default"/>
      </w:rPr>
    </w:lvl>
    <w:lvl w:ilvl="2">
      <w:start w:val="1"/>
      <w:numFmt w:val="bullet"/>
      <w:lvlText w:val="▪"/>
      <w:lvlJc w:val="left"/>
      <w:pPr>
        <w:tabs>
          <w:tab w:val="num" w:pos="1970"/>
        </w:tabs>
        <w:ind w:left="1970" w:hanging="360"/>
      </w:pPr>
      <w:rPr>
        <w:rFonts w:ascii="OpenSymbol" w:hAnsi="OpenSymbol" w:cs="OpenSymbol" w:hint="default"/>
      </w:rPr>
    </w:lvl>
    <w:lvl w:ilvl="3">
      <w:start w:val="1"/>
      <w:numFmt w:val="bullet"/>
      <w:lvlText w:val=""/>
      <w:lvlJc w:val="left"/>
      <w:pPr>
        <w:tabs>
          <w:tab w:val="num" w:pos="2330"/>
        </w:tabs>
        <w:ind w:left="2330" w:hanging="360"/>
      </w:pPr>
      <w:rPr>
        <w:rFonts w:ascii="Symbol" w:hAnsi="Symbol" w:cs="OpenSymbol" w:hint="default"/>
      </w:rPr>
    </w:lvl>
    <w:lvl w:ilvl="4">
      <w:start w:val="1"/>
      <w:numFmt w:val="bullet"/>
      <w:lvlText w:val="◦"/>
      <w:lvlJc w:val="left"/>
      <w:pPr>
        <w:tabs>
          <w:tab w:val="num" w:pos="2690"/>
        </w:tabs>
        <w:ind w:left="2690" w:hanging="360"/>
      </w:pPr>
      <w:rPr>
        <w:rFonts w:ascii="OpenSymbol" w:hAnsi="OpenSymbol" w:cs="OpenSymbol" w:hint="default"/>
      </w:rPr>
    </w:lvl>
    <w:lvl w:ilvl="5">
      <w:start w:val="1"/>
      <w:numFmt w:val="bullet"/>
      <w:lvlText w:val="▪"/>
      <w:lvlJc w:val="left"/>
      <w:pPr>
        <w:tabs>
          <w:tab w:val="num" w:pos="3050"/>
        </w:tabs>
        <w:ind w:left="3050" w:hanging="360"/>
      </w:pPr>
      <w:rPr>
        <w:rFonts w:ascii="OpenSymbol" w:hAnsi="OpenSymbol" w:cs="OpenSymbol" w:hint="default"/>
      </w:rPr>
    </w:lvl>
    <w:lvl w:ilvl="6">
      <w:start w:val="1"/>
      <w:numFmt w:val="bullet"/>
      <w:lvlText w:val=""/>
      <w:lvlJc w:val="left"/>
      <w:pPr>
        <w:tabs>
          <w:tab w:val="num" w:pos="3410"/>
        </w:tabs>
        <w:ind w:left="3410" w:hanging="360"/>
      </w:pPr>
      <w:rPr>
        <w:rFonts w:ascii="Symbol" w:hAnsi="Symbol" w:cs="OpenSymbol" w:hint="default"/>
      </w:rPr>
    </w:lvl>
    <w:lvl w:ilvl="7">
      <w:start w:val="1"/>
      <w:numFmt w:val="bullet"/>
      <w:lvlText w:val="◦"/>
      <w:lvlJc w:val="left"/>
      <w:pPr>
        <w:tabs>
          <w:tab w:val="num" w:pos="3770"/>
        </w:tabs>
        <w:ind w:left="3770" w:hanging="360"/>
      </w:pPr>
      <w:rPr>
        <w:rFonts w:ascii="OpenSymbol" w:hAnsi="OpenSymbol" w:cs="OpenSymbol" w:hint="default"/>
      </w:rPr>
    </w:lvl>
    <w:lvl w:ilvl="8">
      <w:start w:val="1"/>
      <w:numFmt w:val="bullet"/>
      <w:lvlText w:val="▪"/>
      <w:lvlJc w:val="left"/>
      <w:pPr>
        <w:tabs>
          <w:tab w:val="num" w:pos="4130"/>
        </w:tabs>
        <w:ind w:left="4130" w:hanging="360"/>
      </w:pPr>
      <w:rPr>
        <w:rFonts w:ascii="OpenSymbol" w:hAnsi="OpenSymbol" w:cs="OpenSymbol" w:hint="default"/>
      </w:rPr>
    </w:lvl>
  </w:abstractNum>
  <w:abstractNum w:abstractNumId="1" w15:restartNumberingAfterBreak="0">
    <w:nsid w:val="3C6821DD"/>
    <w:multiLevelType w:val="multilevel"/>
    <w:tmpl w:val="91B430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0876966"/>
    <w:multiLevelType w:val="multilevel"/>
    <w:tmpl w:val="91DE59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826776611">
    <w:abstractNumId w:val="1"/>
  </w:num>
  <w:num w:numId="2" w16cid:durableId="641345226">
    <w:abstractNumId w:val="0"/>
  </w:num>
  <w:num w:numId="3" w16cid:durableId="2021546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6A"/>
    <w:rsid w:val="0006363C"/>
    <w:rsid w:val="00327618"/>
    <w:rsid w:val="00352C57"/>
    <w:rsid w:val="00480B6A"/>
    <w:rsid w:val="005209EE"/>
    <w:rsid w:val="00570CA6"/>
    <w:rsid w:val="00787F7E"/>
    <w:rsid w:val="007D481B"/>
    <w:rsid w:val="00947C3B"/>
    <w:rsid w:val="00A750F6"/>
    <w:rsid w:val="00AB5A94"/>
    <w:rsid w:val="00AF0433"/>
    <w:rsid w:val="00B526D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FCD2"/>
  <w15:docId w15:val="{D2A656D6-A802-442F-B2BE-575AD4AC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2F1C"/>
    <w:pPr>
      <w:spacing w:after="160" w:line="360" w:lineRule="auto"/>
      <w:ind w:firstLine="454"/>
    </w:pPr>
    <w:rPr>
      <w:rFonts w:ascii="Times New Roman" w:eastAsia="Calibri" w:hAnsi="Times New Roman"/>
      <w:color w:val="00000A"/>
      <w:sz w:val="24"/>
    </w:rPr>
  </w:style>
  <w:style w:type="paragraph" w:styleId="Nadpis1">
    <w:name w:val="heading 1"/>
    <w:basedOn w:val="Normln"/>
    <w:link w:val="Nadpis1Char"/>
    <w:uiPriority w:val="9"/>
    <w:qFormat/>
    <w:rsid w:val="00242F1C"/>
    <w:pPr>
      <w:spacing w:before="454" w:after="454" w:line="276" w:lineRule="auto"/>
      <w:ind w:firstLine="567"/>
      <w:outlineLvl w:val="0"/>
    </w:pPr>
    <w:rPr>
      <w:rFonts w:eastAsia="Times New Roman" w:cs="Times New Roman"/>
      <w:b/>
      <w:bCs/>
      <w:sz w:val="36"/>
      <w:szCs w:val="48"/>
      <w:lang w:eastAsia="cs-CZ"/>
    </w:rPr>
  </w:style>
  <w:style w:type="paragraph" w:styleId="Nadpis2">
    <w:name w:val="heading 2"/>
    <w:basedOn w:val="Normln"/>
    <w:link w:val="Nadpis2Char"/>
    <w:uiPriority w:val="9"/>
    <w:unhideWhenUsed/>
    <w:qFormat/>
    <w:rsid w:val="00242F1C"/>
    <w:pPr>
      <w:keepNext/>
      <w:keepLines/>
      <w:spacing w:before="40" w:after="0"/>
      <w:outlineLvl w:val="1"/>
    </w:pPr>
    <w:rPr>
      <w:rFonts w:eastAsiaTheme="majorEastAsia" w:cstheme="majorBidi"/>
      <w:b/>
      <w:szCs w:val="26"/>
    </w:rPr>
  </w:style>
  <w:style w:type="paragraph" w:styleId="Nadpis3">
    <w:name w:val="heading 3"/>
    <w:basedOn w:val="Nadpis"/>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42F1C"/>
    <w:rPr>
      <w:rFonts w:ascii="Times New Roman" w:eastAsia="Times New Roman" w:hAnsi="Times New Roman" w:cs="Times New Roman"/>
      <w:b/>
      <w:bCs/>
      <w:color w:val="00000A"/>
      <w:sz w:val="36"/>
      <w:szCs w:val="48"/>
      <w:lang w:eastAsia="cs-CZ"/>
    </w:rPr>
  </w:style>
  <w:style w:type="character" w:customStyle="1" w:styleId="Nadpis2Char">
    <w:name w:val="Nadpis 2 Char"/>
    <w:basedOn w:val="Standardnpsmoodstavce"/>
    <w:link w:val="Nadpis2"/>
    <w:uiPriority w:val="9"/>
    <w:qFormat/>
    <w:rsid w:val="00242F1C"/>
    <w:rPr>
      <w:rFonts w:ascii="Times New Roman" w:eastAsiaTheme="majorEastAsia" w:hAnsi="Times New Roman" w:cstheme="majorBidi"/>
      <w:b/>
      <w:sz w:val="24"/>
      <w:szCs w:val="26"/>
    </w:rPr>
  </w:style>
  <w:style w:type="character" w:customStyle="1" w:styleId="ListLabel1">
    <w:name w:val="ListLabel 1"/>
    <w:qFormat/>
    <w:rPr>
      <w:sz w:val="20"/>
    </w:rPr>
  </w:style>
  <w:style w:type="character" w:customStyle="1" w:styleId="Odrky">
    <w:name w:val="Odrážky"/>
    <w:qFormat/>
    <w:rPr>
      <w:rFonts w:ascii="OpenSymbol" w:eastAsia="OpenSymbol" w:hAnsi="OpenSymbol" w:cs="OpenSymbol"/>
    </w:rPr>
  </w:style>
  <w:style w:type="character" w:customStyle="1" w:styleId="TextbublinyChar">
    <w:name w:val="Text bubliny Char"/>
    <w:basedOn w:val="Standardnpsmoodstavce"/>
    <w:link w:val="Textbubliny"/>
    <w:uiPriority w:val="99"/>
    <w:semiHidden/>
    <w:qFormat/>
    <w:rsid w:val="00C6659E"/>
    <w:rPr>
      <w:rFonts w:ascii="Segoe UI" w:hAnsi="Segoe UI" w:cs="Segoe UI"/>
      <w:sz w:val="18"/>
      <w:szCs w:val="18"/>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Internetovodkaz">
    <w:name w:val="Internetový odkaz"/>
    <w:rPr>
      <w:color w:val="000080"/>
      <w:u w:val="single"/>
    </w:rPr>
  </w:style>
  <w:style w:type="character" w:customStyle="1" w:styleId="Odkaznarejstk">
    <w:name w:val="Odkaz na rejstřík"/>
    <w:qFormat/>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1"/>
    <w:rPr>
      <w:rFonts w:cs="Lucida Sans"/>
    </w:rPr>
  </w:style>
  <w:style w:type="paragraph" w:styleId="Titulek">
    <w:name w:val="caption"/>
    <w:basedOn w:val="Normln"/>
    <w:qFormat/>
    <w:pPr>
      <w:suppressLineNumbers/>
      <w:spacing w:before="120" w:after="120"/>
    </w:pPr>
    <w:rPr>
      <w:rFonts w:cs="Mangal"/>
      <w:i/>
      <w:iCs/>
      <w:szCs w:val="24"/>
    </w:rPr>
  </w:style>
  <w:style w:type="paragraph" w:customStyle="1" w:styleId="Rejstk">
    <w:name w:val="Rejstřík"/>
    <w:basedOn w:val="Normln"/>
    <w:qFormat/>
    <w:pPr>
      <w:suppressLineNumbers/>
    </w:pPr>
    <w:rPr>
      <w:rFonts w:cs="Lucida Sans"/>
    </w:rPr>
  </w:style>
  <w:style w:type="paragraph" w:customStyle="1" w:styleId="Zkladntext1">
    <w:name w:val="Základní text1"/>
    <w:basedOn w:val="Normln"/>
    <w:qFormat/>
    <w:pPr>
      <w:spacing w:after="140" w:line="288" w:lineRule="auto"/>
    </w:pPr>
  </w:style>
  <w:style w:type="paragraph" w:customStyle="1" w:styleId="Titulek1">
    <w:name w:val="Titulek1"/>
    <w:basedOn w:val="Normln"/>
    <w:qFormat/>
    <w:pPr>
      <w:suppressLineNumbers/>
      <w:spacing w:before="120" w:after="120"/>
    </w:pPr>
    <w:rPr>
      <w:rFonts w:cs="Lucida Sans"/>
      <w:i/>
      <w:iCs/>
      <w:szCs w:val="24"/>
    </w:rPr>
  </w:style>
  <w:style w:type="paragraph" w:customStyle="1" w:styleId="western">
    <w:name w:val="western"/>
    <w:basedOn w:val="Normln"/>
    <w:qFormat/>
    <w:rsid w:val="00B5103E"/>
    <w:pPr>
      <w:spacing w:beforeAutospacing="1" w:after="142"/>
      <w:ind w:firstLine="340"/>
    </w:pPr>
    <w:rPr>
      <w:rFonts w:ascii="Liberation Sans" w:eastAsia="Times New Roman" w:hAnsi="Liberation Sans" w:cs="Liberation Sans"/>
      <w:szCs w:val="24"/>
      <w:lang w:eastAsia="cs-CZ"/>
    </w:rPr>
  </w:style>
  <w:style w:type="paragraph" w:styleId="Textbubliny">
    <w:name w:val="Balloon Text"/>
    <w:basedOn w:val="Normln"/>
    <w:link w:val="TextbublinyChar"/>
    <w:uiPriority w:val="99"/>
    <w:semiHidden/>
    <w:unhideWhenUsed/>
    <w:qFormat/>
    <w:rsid w:val="00C6659E"/>
    <w:pPr>
      <w:spacing w:after="0" w:line="240" w:lineRule="auto"/>
    </w:pPr>
    <w:rPr>
      <w:rFonts w:ascii="Segoe UI" w:hAnsi="Segoe UI" w:cs="Segoe UI"/>
      <w:sz w:val="18"/>
      <w:szCs w:val="18"/>
    </w:rPr>
  </w:style>
  <w:style w:type="paragraph" w:styleId="Hlavikaobsahu">
    <w:name w:val="toa heading"/>
    <w:basedOn w:val="Nadpis"/>
    <w:qFormat/>
    <w:pPr>
      <w:suppressLineNumbers/>
      <w:ind w:firstLine="0"/>
    </w:pPr>
    <w:rPr>
      <w:b/>
      <w:bCs/>
      <w:sz w:val="32"/>
      <w:szCs w:val="32"/>
    </w:rPr>
  </w:style>
  <w:style w:type="paragraph" w:styleId="Obsah1">
    <w:name w:val="toc 1"/>
    <w:basedOn w:val="Rejstk"/>
    <w:pPr>
      <w:tabs>
        <w:tab w:val="right" w:leader="dot" w:pos="9072"/>
      </w:tabs>
      <w:ind w:firstLine="0"/>
    </w:pPr>
  </w:style>
  <w:style w:type="paragraph" w:styleId="Obsah2">
    <w:name w:val="toc 2"/>
    <w:basedOn w:val="Rejstk"/>
    <w:pPr>
      <w:tabs>
        <w:tab w:val="right" w:leader="dot" w:pos="8789"/>
      </w:tabs>
      <w:ind w:left="283" w:firstLine="0"/>
    </w:pPr>
  </w:style>
  <w:style w:type="paragraph" w:styleId="Obsah3">
    <w:name w:val="toc 3"/>
    <w:basedOn w:val="Rejstk"/>
    <w:pPr>
      <w:tabs>
        <w:tab w:val="right" w:leader="dot" w:pos="8506"/>
      </w:tabs>
      <w:ind w:left="566"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2465</Words>
  <Characters>14548</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Štepanovský</dc:creator>
  <dc:description/>
  <cp:lastModifiedBy>Dětský Domov Dagmar</cp:lastModifiedBy>
  <cp:revision>3</cp:revision>
  <dcterms:created xsi:type="dcterms:W3CDTF">2021-10-04T08:47:00Z</dcterms:created>
  <dcterms:modified xsi:type="dcterms:W3CDTF">2022-08-23T12:59:00Z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